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96" w:lineRule="exact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宋体" w:eastAsia="仿宋_GB2312" w:cs="Times New Roman"/>
          <w:b/>
          <w:kern w:val="2"/>
          <w:sz w:val="31"/>
          <w:szCs w:val="31"/>
          <w:lang w:val="en-US" w:eastAsia="zh-CN" w:bidi="ar-SA"/>
        </w:rPr>
        <w:pict>
          <v:line id="_x0000_s1036" o:spid="_x0000_s1026" style="position:absolute;left:0;margin-left:0pt;margin-top:343.3pt;height:0.05pt;width:442.2pt;mso-position-vertical-relative:page;mso-wrap-distance-bottom:0pt;mso-wrap-distance-top:0pt;rotation:0f;z-index:251668480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  <w10:wrap type="topAndBottom"/>
            <w10:anchorlock/>
          </v:line>
        </w:pict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afterLines="20" w:line="596" w:lineRule="exact"/>
        <w:jc w:val="center"/>
        <w:textAlignment w:val="top"/>
        <w:rPr>
          <w:rFonts w:ascii="仿宋_GB231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莆田市2024年度国有建设用地供应计划表</w:t>
      </w:r>
      <w:bookmarkStart w:id="1" w:name="_GoBack"/>
      <w:bookmarkEnd w:id="1"/>
    </w:p>
    <w:tbl>
      <w:tblPr>
        <w:tblW w:w="133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1033"/>
        <w:gridCol w:w="598"/>
        <w:gridCol w:w="1807"/>
        <w:gridCol w:w="3945"/>
        <w:gridCol w:w="1620"/>
        <w:gridCol w:w="1219"/>
        <w:gridCol w:w="1513"/>
        <w:gridCol w:w="16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" w:hRule="atLeast"/>
          <w:tblHeader/>
        </w:trPr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行政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5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宗地位置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土地面积</w:t>
            </w:r>
            <w:r>
              <w:rPr>
                <w:rFonts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（公顷）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土地用途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拟供地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336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 w:val="0"/>
                <w:bCs/>
                <w:color w:val="000000"/>
                <w:kern w:val="0"/>
                <w:sz w:val="24"/>
              </w:rPr>
              <w:t>住宅用地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3363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 w:val="0"/>
                <w:bCs/>
                <w:color w:val="000000"/>
                <w:kern w:val="0"/>
                <w:sz w:val="24"/>
              </w:rPr>
              <w:t>商品住宅用地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7" w:hRule="atLeast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绶溪片区地块十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绶溪片区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商务办公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7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CBD一号地块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新度镇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16.6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商住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玉湖地块二十三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-F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玉湖地块二十三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-C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玉湖地块二十六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-B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白塘路北侧濠浦出让地块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拱辰街道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绶溪片区地块十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绶溪片区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紫霄片区地块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西天尾镇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商住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40.3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区自然资源局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月塘南片区地块一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凤凰山街道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4.9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区自然资源局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钟谭四号地块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钟潭片区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商住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区自然资源局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洋西地块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龙桥街道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3.2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9.3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区经营办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兴涵水都地块十二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白塘镇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商住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区经营办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新涵片区地块一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梧塘镇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商住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区经营办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苏墩片区地块二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涵东街道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区经营办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江尾片区地块一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白塘镇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8.3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18.6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福建艾利德贸易有限公司收储地块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清塘大道北侧地块十一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4.9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清塘大道北侧地块十四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6.2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城东实小南侧地块一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商住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城东实小东侧地块一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3.8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岐厝出让地块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22.6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北岸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北岸自然资源分局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山亭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1号地块-地块五（350305-21）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山亭镇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5.2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商住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5.2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商品住宅用地合计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96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3363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保障性安居工程用地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黄石工业园区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北高坑园片区安置区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人民政府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五侯大道安置区建设工程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办事处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玉湖新城新溪片区安置房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A区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办事处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玉湖新城阔口片区安置房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办事处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玉湖新城古山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D区安置房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9.7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区国信产业投资有限公司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屿上片区改造项目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霞林街道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区建投建设开发有限公司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月塘南片区二期改造项目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凤凰山街道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协议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4.8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区国有资产投资集团有限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高铁南片区北组团棚户区改造项目地块四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区国有资产投资集团有限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兴秀棚户区改造项目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6.8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湄洲岛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湄洲岛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旅建集团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旧税务所安置房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湄洲岛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0.3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保障性安居工程用地合计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21.6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住宅用地合计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117.6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3363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商服用地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auto"/>
                <w:sz w:val="24"/>
              </w:rPr>
            </w:pPr>
            <w:r>
              <w:rPr>
                <w:rFonts w:ascii="仿宋_GB2312" w:hAnsi="仿宋_GB2312" w:eastAsia="宋体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4"/>
              </w:rPr>
              <w:t>北高镇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4"/>
              </w:rPr>
              <w:t>人民政府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4"/>
              </w:rPr>
              <w:t>尚德西路和凤仙南街交叉口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4"/>
              </w:rPr>
              <w:t>西南侧地块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4"/>
              </w:rPr>
              <w:t>北高镇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auto"/>
                <w:sz w:val="24"/>
              </w:rPr>
            </w:pPr>
            <w:r>
              <w:rPr>
                <w:rFonts w:ascii="仿宋_GB2312" w:hAnsi="仿宋_GB2312" w:eastAsia="宋体" w:cs="仿宋_GB2312"/>
                <w:color w:val="auto"/>
                <w:kern w:val="0"/>
                <w:sz w:val="24"/>
              </w:rPr>
              <w:t>0.7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4"/>
              </w:rPr>
              <w:t>商业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90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bCs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区自然资源局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木兰陂水文化商业街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霞林街道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区经营办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江口火车站站前加油站地块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涵东街道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0.3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木材加工区加油站地块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东峤镇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商服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（加油站）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区前期办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东庄镇秀港大道北侧加油站地块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东庄镇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商服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（加油站）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湄洲岛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湄洲岛管委会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湄洲岛两岸一条根农文旅产业园区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湄洲岛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商服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湄洲岛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湄洲岛管委会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世界妈祖文化中心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湄洲岛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商服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拍卖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6.8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商服用地合计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sz w:val="24"/>
              </w:rPr>
              <w:t>9.2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3363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工矿仓储用地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西天尾工业园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西天尾工业园工业地块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西天尾镇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黄石工业园区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黄石工业园区地块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黄石工业园区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北高片区地块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7.2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人民政府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高铁站分区单元（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350305-01）D-50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人民政府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高铁站分区单元（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350305-01）D-52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31.7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8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太湖园区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新型功能建筑材料生产项目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灵川镇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华林经济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开发区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西许二期产业园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华亭镇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华林经济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开发区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CG挂-2023-016号地块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华亭镇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15.2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新涵工业集中区管理委员会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原华佳彩预申请工业地块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新涵工业园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涵江港区建设服务中心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原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PH-2203收储地块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三江口镇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6.7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涵江港区建设服务中心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原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PH-2302收储地块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三江口镇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18.4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涵江港区建设服务中心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原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PH-2001收储地块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三江口镇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涵江港区建设服务中心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原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PH-2002收储地块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三江口镇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40.8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笏石工业园北分区单元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202401地块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1.7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笏石工业园北分区单元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202402地块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笏石工业园北分区单元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202403地块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笏石工业园北分区单元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202404地块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笏石工业园北分区单元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202405地块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丰弛二期地块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笏石工业园北分区单元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202406地块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笏石工业园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8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石门澳产业园服务中心</w:t>
            </w:r>
          </w:p>
        </w:tc>
        <w:tc>
          <w:tcPr>
            <w:tcW w:w="39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石门澳产业园仓储物流及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停车场项目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石门澳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产业园</w:t>
            </w:r>
          </w:p>
        </w:tc>
        <w:tc>
          <w:tcPr>
            <w:tcW w:w="12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7.6</w:t>
            </w:r>
          </w:p>
        </w:tc>
        <w:tc>
          <w:tcPr>
            <w:tcW w:w="15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" w:hRule="atLeast"/>
        </w:trPr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石门澳产业园服务中心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年产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60万吨己内酰胺项目（三期）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石门澳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产业园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35.9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55.1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5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北岸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临港产业园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管委会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东吴港区分区单元海丝路（原滨海大道）西侧二号地块地块二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-B地块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东埔镇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26.5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北岸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临港产业园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管委会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北岸经济开发区罗港东路南侧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地块一、地块二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东埔镇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工矿仓储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32.5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工矿仓储用地合计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175.3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3363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公共管理与公共服务用地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区卫健局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北高镇卫生院埕头分院建设项目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医疗卫生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区卫健局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北高镇卫生院医养结合楼建设项目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医疗卫生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办事处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玉湖路北侧绿化带项目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绿地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办事处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玉湖新城古山民俗文化展示馆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文化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办事处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玉湖新城便民服务中心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机关团体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办事处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玉湖运动场及周边绿化带项目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镇海街道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拱辰街道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办事处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荔浦文化设施项目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拱辰街道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文化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拱辰街道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办事处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西庚文化设施项目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拱辰街道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文化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人民政府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黄石小微产业园配套绿化工程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（二期）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绿地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区自然资源局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廉政教育基地周边道路工程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机关团体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区自然资源局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廉政教育基地周边绿化工程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绿地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区自然资源局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后墩变电站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拱辰街道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供电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13.6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区经发集团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文献北片区文献小学新校区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龙桥街道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区经发集团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文献北片儿童乐园新校区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龙桥街道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区国投集团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樟林第一实验幼儿园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华亭镇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8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区国投集团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市第五中学樟林校区项目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华亭镇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6.1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区城投集团</w:t>
            </w:r>
          </w:p>
        </w:tc>
        <w:tc>
          <w:tcPr>
            <w:tcW w:w="39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坂头中学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霞林街道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2.6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区自然资源局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市工人文化宫建设项目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霞林街道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文化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区国投集团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樟林社区服务中心项目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华亭镇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社会福利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区自然资源局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莆田益民中医院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华亭镇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医疗卫生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市公安局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市公安局综合警务技能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训练基地项目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萩芦镇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9.9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公共管理与公共服务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9.9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区国有资产投资集团有限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莆田工业职业技术学校扩建工程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出让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区国有资产投资集团有限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毓英科技楼及活动中心建设工程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区毓秀文旅有限公司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非遗文化教育展览基地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文化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区铁路投资开发投资有限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秀屿区高铁片区给水加压泵站项目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供水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90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bCs/>
                <w:color w:val="000000"/>
                <w:kern w:val="0"/>
                <w:sz w:val="24"/>
              </w:rPr>
              <w:t>2.8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北岸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莆田第十三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莆田第十三中学文体场地建设工程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忠门镇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3.4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公共管理与公共服务用地合计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46.7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3363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交通运输用地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7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人民政府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五侯大道（莆炎高速北高互通及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接线工程）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14.9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3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人民政府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德鑫路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拱辰街道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办事处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Y063张东线新扩建工程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拱辰街道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新度镇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人民政府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永嘉街二期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新度镇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14.7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新度镇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人民政府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新度棚改二期周边路网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新度镇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人民政府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黄石小微产业园配套市政工程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（二期）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人民政府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沙坂片区棚改项目配套路网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（万好南路、和谐路）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黄石工业园区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黄石工业园区道路及配套设施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黄石工业园区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北高片区道路及配套设施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人民政府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荔城污水三期改扩建配套桥涵工程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区自然资源局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市廉政教育基地周边道路工程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53.3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5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区国有资产投资集团有限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5G数字产业园基础设施建设-樟林片区路网及基础配套设施工程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华亭镇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17.6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1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区建投建设开发有限公司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木兰铁岭片区改造项目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-市政道路建设项目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霞林街道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09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区交通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运输</w:t>
            </w: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沈海高速东进出入口工程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灵川镇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区交通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运输</w:t>
            </w: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局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国道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G228线城厢东进至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笏枫公路线工程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灵川镇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4.1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52.7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85" w:hRule="atLeast"/>
        </w:trPr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市国投建设发展有限公司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城北工业园片区路网（规划三路、规划四路）建设工程（一期）项目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国欢镇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江口镇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23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区城市建设投资有限公司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荔城路建设项目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梧塘镇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区交通建设投资有限公司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莆炎高速萩芦出口至兴化湾涵江港作业区进港道路（南环路至芳山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互通段）工程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三江口镇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47" w:hRule="atLeast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sz w:val="24"/>
              </w:rPr>
              <w:t>4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东南沿海铁路福建有限责任公司</w:t>
            </w:r>
          </w:p>
        </w:tc>
        <w:tc>
          <w:tcPr>
            <w:tcW w:w="39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新建福州至厦门铁路（莆田市境内涵江段）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三江口镇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江口镇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国欢镇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白塘镇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46.7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54.8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2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区国有资产投资集团有限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青美南路（上林路至岭美街）市政道路工程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0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区国有资产投资集团有限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上林路（莆兴路至联十一线）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市政道路工程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区国有资产投资集团有限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高铁南片区南组团配套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市政道路工程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26.6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区国有资产投资集团有限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土海片区配套市政道路工程二期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区国有资产投资集团有限公司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高铁南片区东组团市政道路工程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区国有资产投资集团有限公司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前进路（城港大道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-西塘街）</w:t>
            </w:r>
          </w:p>
          <w:p>
            <w:pPr>
              <w:widowControl/>
              <w:pBdr>
                <w:bottom w:val="single" w:color="auto" w:sz="6" w:space="1"/>
              </w:pBdr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市政道路工程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区交通投资集团有限公司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高铁北片区秀福街一期工程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（西地下通道至连接段）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5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区交通投资集团有限公司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秀屿区教师进修学校附属第二小学（东峤魏厝小学）桥梁建设工程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东峤镇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莆田市市政建设有限公司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八二一街南伸岭美街段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(福厦高铁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莆兴路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)道路建设工程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区国有资产投资集团有限公司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土海片区配套市政道路三期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笏石镇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5.1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59.8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北岸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临港产业园管委会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罗屿作业区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7＃泊位后方辅助区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配套基础设施项目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东埔镇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5.9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5.9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交通运输用地合计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226.5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 xml:space="preserve">                                              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3363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水域及水利设施用地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黄石镇人民政府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黄石小微产业园配套河道工程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（二期）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黄石镇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水利设施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0.6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区国有资产投资集团有限公司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5G数字产业园基础设施建设项目-樟林片区防洪排涝工程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华亭镇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3.1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水利设施</w:t>
            </w:r>
          </w:p>
        </w:tc>
        <w:tc>
          <w:tcPr>
            <w:tcW w:w="1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3.1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市萩芦溪水库建设有限公司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西音水库</w:t>
            </w: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(二期)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庄边镇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36.7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水域及水利设施</w:t>
            </w:r>
          </w:p>
        </w:tc>
        <w:tc>
          <w:tcPr>
            <w:tcW w:w="1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涵江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市木兰溪防洪工程建设管理处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木兰溪防洪工程白塘段项目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白塘镇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12.7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水域及水利设施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49.4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水域及水利设施用地合计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53.1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3363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特殊用地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北高镇人民政府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海警工作站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北高镇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军事设施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</w:rPr>
              <w:t>划拨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特殊用地合计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900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宋体" w:cs="仿宋_GB2312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宋体" w:cs="仿宋_GB2312"/>
                <w:b/>
                <w:color w:val="000000"/>
                <w:kern w:val="0"/>
                <w:sz w:val="24"/>
              </w:rPr>
              <w:t>629.1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宋体" w:cs="仿宋_GB2312"/>
                <w:b/>
                <w:color w:val="000000"/>
                <w:sz w:val="24"/>
              </w:rPr>
            </w:pPr>
          </w:p>
        </w:tc>
      </w:tr>
    </w:tbl>
    <w:p>
      <w:pPr>
        <w:snapToGrid w:val="0"/>
        <w:spacing w:line="596" w:lineRule="exact"/>
        <w:textAlignment w:val="top"/>
        <w:rPr>
          <w:rFonts w:ascii="仿宋_GB2312"/>
          <w:szCs w:val="31"/>
        </w:rPr>
        <w:sectPr>
          <w:headerReference r:id="rId4" w:type="default"/>
          <w:footerReference r:id="rId5" w:type="default"/>
          <w:pgSz w:w="16838" w:h="11906" w:orient="landscape"/>
          <w:pgMar w:top="1588" w:right="2098" w:bottom="1418" w:left="1588" w:header="851" w:footer="1361" w:gutter="0"/>
          <w:cols w:space="720" w:num="1"/>
          <w:docGrid w:type="linesAndChars" w:linePitch="596" w:charSpace="1609"/>
        </w:sectPr>
      </w:pPr>
    </w:p>
    <w:p>
      <w:pPr>
        <w:spacing w:line="596" w:lineRule="exact"/>
        <w:textAlignment w:val="top"/>
      </w:pPr>
      <w:r>
        <w:rPr>
          <w:rFonts w:ascii="Times New Roman" w:hAnsi="Times New Roman" w:eastAsia="仿宋_GB2312" w:cs="Times New Roman"/>
          <w:kern w:val="2"/>
          <w:sz w:val="31"/>
          <w:szCs w:val="24"/>
          <w:lang w:val="en-US" w:eastAsia="zh-CN" w:bidi="ar-SA"/>
        </w:rPr>
        <w:pict>
          <v:shape id="_x0000_s1034" o:spid="_x0000_s1027" type="#_x0000_t202" style="position:absolute;left:0;margin-left:257.45pt;margin-top:724.9pt;height:28.35pt;width:183.75pt;mso-position-vertical-relative:page;mso-wrap-distance-bottom:0pt;mso-wrap-distance-top:0pt;rotation:0f;visibility:hidden;z-index:251667456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wordWrap w:val="0"/>
                    <w:jc w:val="right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="仿宋_GB2312"/>
                      <w:sz w:val="28"/>
                      <w:szCs w:val="28"/>
                    </w:rPr>
                    <w:instrText xml:space="preserve"> MERGEFIELD 签发时间 </w:instrText>
                  </w:r>
                  <w:r>
                    <w:rPr>
                      <w:rFonts w:hint="eastAsia" w:ascii="仿宋_GB2312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仿宋_GB2312"/>
                      <w:sz w:val="28"/>
                      <w:szCs w:val="28"/>
                    </w:rPr>
                    <w:t>«</w:t>
                  </w:r>
                  <w:r>
                    <w:rPr>
                      <w:rFonts w:hint="eastAsia" w:ascii="仿宋_GB2312"/>
                      <w:sz w:val="28"/>
                      <w:szCs w:val="28"/>
                    </w:rPr>
                    <w:t>签发时间</w:t>
                  </w:r>
                  <w:r>
                    <w:rPr>
                      <w:rFonts w:ascii="仿宋_GB2312"/>
                      <w:sz w:val="28"/>
                      <w:szCs w:val="28"/>
                    </w:rPr>
                    <w:t>»</w:t>
                  </w:r>
                  <w:r>
                    <w:rPr>
                      <w:rFonts w:hint="eastAsia" w:ascii="仿宋_GB2312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="仿宋_GB2312"/>
                      <w:sz w:val="28"/>
                      <w:szCs w:val="28"/>
                    </w:rPr>
                    <w:t xml:space="preserve">翻印  </w:t>
                  </w:r>
                </w:p>
              </w:txbxContent>
            </v:textbox>
            <w10:wrap type="topAndBottom"/>
            <w10:anchorlock/>
          </v:shape>
        </w:pict>
      </w:r>
      <w:r>
        <w:rPr>
          <w:rFonts w:ascii="Times New Roman" w:hAnsi="Times New Roman" w:eastAsia="仿宋_GB2312" w:cs="Times New Roman"/>
          <w:kern w:val="2"/>
          <w:sz w:val="31"/>
          <w:szCs w:val="24"/>
          <w:lang w:val="en-US" w:eastAsia="zh-CN" w:bidi="ar-SA"/>
        </w:rPr>
        <w:pict>
          <v:line id="_x0000_s1033" o:spid="_x0000_s1028" style="position:absolute;left:0;margin-left:-0.15pt;margin-top:751.6pt;height:0.05pt;width:442.15pt;mso-position-horizontal-relative:margin;mso-position-vertical-relative:page;mso-wrap-distance-bottom:0pt;mso-wrap-distance-top:0pt;rotation:0f;visibility:hidden;z-index:251665408;" o:ole="f" fillcolor="#FFFFFF" filled="f" o:preferrelative="t" stroked="t" coordsize="21600,21600">
            <v:fill on="f" color2="#FFFFFF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w10:wrap type="topAndBottom"/>
            <w10:anchorlock/>
          </v:line>
        </w:pict>
      </w:r>
      <w:r>
        <w:rPr>
          <w:rFonts w:ascii="Times New Roman" w:hAnsi="Times New Roman" w:eastAsia="仿宋_GB2312" w:cs="Times New Roman"/>
          <w:kern w:val="2"/>
          <w:sz w:val="31"/>
          <w:szCs w:val="24"/>
          <w:lang w:val="en-US" w:eastAsia="zh-CN" w:bidi="ar-SA"/>
        </w:rPr>
        <w:pict>
          <v:line id="_x0000_s1032" o:spid="_x0000_s1029" style="position:absolute;left:0;margin-left:-0.7pt;margin-top:634.5pt;height:0.05pt;width:442.15pt;mso-position-vertical-relative:page;mso-wrap-distance-bottom:0pt;mso-wrap-distance-top:0pt;rotation:0f;z-index:251663360;" o:ole="f" fillcolor="#FFFFFF" filled="f" o:preferrelative="t" stroked="t" coordsize="21600,21600">
            <v:fill on="f" color2="#FFFFFF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w10:wrap type="topAndBottom"/>
            <w10:anchorlock/>
          </v:line>
        </w:pict>
      </w:r>
      <w:r>
        <w:rPr>
          <w:rFonts w:ascii="Times New Roman" w:hAnsi="Times New Roman" w:eastAsia="仿宋_GB2312" w:cs="Times New Roman"/>
          <w:kern w:val="2"/>
          <w:sz w:val="31"/>
          <w:szCs w:val="24"/>
          <w:lang w:val="en-US" w:eastAsia="zh-CN" w:bidi="ar-SA"/>
        </w:rPr>
        <w:pict>
          <v:line id="_x0000_s1031" o:spid="_x0000_s1030" style="position:absolute;left:0;margin-left:-0.7pt;margin-top:723.1pt;height:0.05pt;width:442.15pt;mso-position-horizontal-relative:margin;mso-position-vertical-relative:page;mso-wrap-distance-bottom:0pt;mso-wrap-distance-top:0pt;rotation:0f;z-index:25166233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w10:wrap type="topAndBottom"/>
            <w10:anchorlock/>
          </v:line>
        </w:pict>
      </w:r>
      <w:r>
        <w:rPr>
          <w:rFonts w:ascii="Times New Roman" w:hAnsi="Times New Roman" w:eastAsia="仿宋_GB2312" w:cs="Times New Roman"/>
          <w:kern w:val="2"/>
          <w:sz w:val="31"/>
          <w:szCs w:val="24"/>
          <w:lang w:val="en-US" w:eastAsia="zh-CN" w:bidi="ar-SA"/>
        </w:rPr>
        <w:pict>
          <v:line id="_x0000_s1030" o:spid="_x0000_s1031" style="position:absolute;left:0;margin-left:0pt;margin-top:751.6pt;height:0.05pt;width:442.15pt;mso-position-horizontal-relative:margin;mso-position-vertical-relative:page;mso-wrap-distance-bottom:0pt;mso-wrap-distance-top:0pt;rotation:0f;z-index:251661312;" o:ole="f" fillcolor="#FFFFFF" filled="f" o:preferrelative="t" stroked="t" coordsize="21600,21600">
            <v:fill on="f" color2="#FFFFFF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w10:wrap type="topAndBottom"/>
            <w10:anchorlock/>
          </v:line>
        </w:pict>
      </w:r>
      <w:r>
        <w:rPr>
          <w:rFonts w:ascii="Times New Roman" w:hAnsi="Times New Roman" w:eastAsia="仿宋_GB2312" w:cs="Times New Roman"/>
          <w:kern w:val="2"/>
          <w:sz w:val="31"/>
          <w:szCs w:val="24"/>
          <w:lang w:val="en-US" w:eastAsia="zh-CN" w:bidi="ar-SA"/>
        </w:rPr>
        <w:pict>
          <v:shape id="_x0000_s1029" o:spid="_x0000_s1032" type="#_x0000_t202" style="position:absolute;left:0;margin-left:256.65pt;margin-top:723.1pt;height:28.35pt;width:183.75pt;mso-position-vertical-relative:page;mso-wrap-distance-bottom:0pt;mso-wrap-distance-top:0pt;rotation:0f;z-index:251660288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wordWrap w:val="0"/>
                    <w:jc w:val="right"/>
                    <w:rPr>
                      <w:rFonts w:ascii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hAnsi="仿宋_GB2312" w:cs="仿宋_GB2312"/>
                      <w:sz w:val="28"/>
                      <w:szCs w:val="28"/>
                    </w:rPr>
                    <w:t>2024</w:t>
                  </w: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</w:rPr>
                    <w:t>年</w:t>
                  </w:r>
                  <w:r>
                    <w:rPr>
                      <w:rFonts w:ascii="仿宋_GB2312" w:hAnsi="仿宋_GB2312" w:cs="仿宋_GB2312"/>
                      <w:sz w:val="28"/>
                      <w:szCs w:val="28"/>
                    </w:rPr>
                    <w:t>5</w:t>
                  </w: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</w:rPr>
                    <w:t>月</w:t>
                  </w:r>
                  <w:r>
                    <w:rPr>
                      <w:rFonts w:ascii="仿宋_GB2312" w:hAnsi="仿宋_GB2312" w:cs="仿宋_GB2312"/>
                      <w:sz w:val="28"/>
                      <w:szCs w:val="28"/>
                    </w:rPr>
                    <w:t>14</w:t>
                  </w: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</w:rPr>
                    <w:t>日</w:t>
                  </w: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</w:rPr>
                    <w:t>印发</w:t>
                  </w:r>
                  <w:r>
                    <w:rPr>
                      <w:rFonts w:ascii="仿宋_GB2312" w:hAnsi="仿宋_GB2312" w:cs="仿宋_GB2312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opAndBottom"/>
            <w10:anchorlock/>
          </v:shape>
        </w:pict>
      </w:r>
      <w:r>
        <w:rPr>
          <w:rFonts w:ascii="Times New Roman" w:hAnsi="Times New Roman" w:eastAsia="仿宋_GB2312" w:cs="Times New Roman"/>
          <w:kern w:val="2"/>
          <w:sz w:val="31"/>
          <w:szCs w:val="24"/>
          <w:lang w:val="en-US" w:eastAsia="zh-CN" w:bidi="ar-SA"/>
        </w:rPr>
        <w:pict>
          <v:shape id="_x0000_s1028" o:spid="_x0000_s1033" type="#_x0000_t202" style="position:absolute;left:0;margin-left:0pt;margin-top:722.85pt;height:28.35pt;width:254.85pt;mso-position-vertical-relative:page;mso-wrap-distance-bottom:0pt;mso-wrap-distance-top:0pt;rotation:0f;z-index:251659264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pStyle w:val="3"/>
                    <w:ind w:firstLine="144" w:firstLineChars="5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莆田市人民政府办公室</w:t>
                  </w:r>
                </w:p>
              </w:txbxContent>
            </v:textbox>
            <w10:wrap type="topAndBottom"/>
            <w10:anchorlock/>
          </v:shape>
        </w:pict>
      </w:r>
      <w:r>
        <w:rPr>
          <w:rFonts w:ascii="Times New Roman" w:hAnsi="Times New Roman" w:eastAsia="仿宋_GB2312" w:cs="Times New Roman"/>
          <w:kern w:val="2"/>
          <w:sz w:val="31"/>
          <w:szCs w:val="24"/>
          <w:lang w:val="en-US" w:eastAsia="zh-CN" w:bidi="ar-SA"/>
        </w:rPr>
        <w:pict>
          <v:shape id="_x0000_s1027" o:spid="_x0000_s1034" type="#_x0000_t202" style="position:absolute;left:0;margin-left:0pt;margin-top:632.9pt;height:84.6pt;width:431.7pt;mso-position-horizontal-relative:margin;mso-position-vertical-relative:page;mso-wrap-distance-bottom:0pt;mso-wrap-distance-top:0pt;rotation:0f;z-index:251664384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spacing w:line="590" w:lineRule="exact"/>
                    <w:ind w:left="978" w:leftChars="45" w:hanging="835" w:hangingChars="290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/>
                      <w:sz w:val="28"/>
                      <w:szCs w:val="28"/>
                    </w:rPr>
                    <w:t>抄送：</w:t>
                  </w:r>
                  <w:bookmarkStart w:id="0" w:name="抄送单位"/>
                  <w:r>
                    <w:rPr>
                      <w:rFonts w:hint="eastAsia" w:ascii="仿宋_GB2312"/>
                      <w:sz w:val="28"/>
                      <w:szCs w:val="28"/>
                    </w:rPr>
                    <w:t>市发改委、财政局、住建局、教育局、交通运输局、商务局、生态环境局、文旅局、自然资源储备中心、行政服务中心，各县（区）人民政府（管委会）。</w:t>
                  </w:r>
                  <w:bookmarkEnd w:id="0"/>
                </w:p>
                <w:p>
                  <w:pPr>
                    <w:spacing w:line="590" w:lineRule="exact"/>
                    <w:ind w:left="981" w:hanging="981"/>
                    <w:rPr>
                      <w:rFonts w:ascii="仿宋_GB2312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ind w:left="964" w:hanging="964"/>
                    <w:rPr>
                      <w:rFonts w:ascii="仿宋_GB2312"/>
                      <w:sz w:val="28"/>
                      <w:szCs w:val="28"/>
                    </w:rPr>
                  </w:pPr>
                </w:p>
              </w:txbxContent>
            </v:textbox>
            <w10:wrap type="topAndBottom"/>
            <w10:anchorlock/>
          </v:shape>
        </w:pict>
      </w:r>
    </w:p>
    <w:sectPr>
      <w:pgSz w:w="11906" w:h="16838"/>
      <w:pgMar w:top="2098" w:right="1418" w:bottom="1588" w:left="1588" w:header="851" w:footer="1361" w:gutter="0"/>
      <w:cols w:space="720" w:num="1"/>
      <w:docGrid w:type="linesAndChars" w:linePitch="596" w:charSpace="1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hAnchor="margin" w:vAnchor="text" w:xAlign="outside" w:y="1"/>
      <w:ind w:left="310" w:leftChars="100" w:right="310" w:rightChars="100"/>
      <w:jc w:val="center"/>
      <w:rPr>
        <w:rStyle w:val="8"/>
      </w:rPr>
    </w:pPr>
    <w:r>
      <w:rPr>
        <w:rStyle w:val="8"/>
        <w:rFonts w:hint="eastAsia" w:ascii="宋体" w:hAnsi="宋体" w:eastAsia="宋体"/>
        <w:sz w:val="28"/>
      </w:rPr>
      <w:t>—</w:t>
    </w:r>
    <w:r>
      <w:rPr>
        <w:rStyle w:val="8"/>
        <w:rFonts w:ascii="宋体" w:hAnsi="宋体" w:eastAsia="宋体"/>
        <w:sz w:val="28"/>
      </w:rPr>
      <w:t xml:space="preserve"> </w:t>
    </w:r>
    <w:r>
      <w:rPr>
        <w:rStyle w:val="8"/>
        <w:rFonts w:ascii="宋体" w:hAnsi="宋体" w:eastAsia="宋体"/>
        <w:sz w:val="28"/>
      </w:rPr>
      <w:fldChar w:fldCharType="begin"/>
    </w:r>
    <w:r>
      <w:rPr>
        <w:rStyle w:val="8"/>
        <w:rFonts w:ascii="宋体" w:hAnsi="宋体" w:eastAsia="宋体"/>
        <w:sz w:val="28"/>
      </w:rPr>
      <w:instrText xml:space="preserve">PAGE  </w:instrText>
    </w:r>
    <w:r>
      <w:rPr>
        <w:rStyle w:val="8"/>
        <w:rFonts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1</w:t>
    </w:r>
    <w:r>
      <w:rPr>
        <w:rStyle w:val="8"/>
        <w:rFonts w:ascii="宋体" w:hAnsi="宋体" w:eastAsia="宋体"/>
        <w:sz w:val="28"/>
      </w:rPr>
      <w:fldChar w:fldCharType="end"/>
    </w:r>
    <w:r>
      <w:rPr>
        <w:rStyle w:val="8"/>
        <w:rFonts w:ascii="宋体" w:hAnsi="宋体" w:eastAsia="宋体"/>
        <w:sz w:val="28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Date"/>
    <w:basedOn w:val="1"/>
    <w:next w:val="1"/>
    <w:qFormat/>
    <w:uiPriority w:val="0"/>
    <w:rPr>
      <w:rFonts w:ascii="仿宋_GB2312"/>
      <w:sz w:val="32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/>
  </w:style>
  <w:style w:type="paragraph" w:customStyle="1" w:styleId="9">
    <w:name w:val="Char Char Char Char"/>
    <w:basedOn w:val="1"/>
    <w:qFormat/>
    <w:uiPriority w:val="0"/>
    <w:rPr>
      <w:rFonts w:ascii="Tahoma" w:hAnsi="Tahoma" w:eastAsia="宋体" w:cs="Tahoma"/>
      <w:sz w:val="24"/>
    </w:rPr>
  </w:style>
  <w:style w:type="character" w:customStyle="1" w:styleId="10">
    <w:name w:val="批注框文本 Char"/>
    <w:basedOn w:val="7"/>
    <w:link w:val="4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1063</Words>
  <Characters>6062</Characters>
  <Lines>50</Lines>
  <Paragraphs>14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2024-05-22T08:14:00Z</dcterms:created>
  <dc:creator>莆田市府办管理员</dc:creator>
  <cp:lastModifiedBy>Administrator</cp:lastModifiedBy>
  <cp:lastPrinted>2024-05-14T17:43:00Z</cp:lastPrinted>
  <dcterms:modified xsi:type="dcterms:W3CDTF">2024-12-03T01:52:57Z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