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962CD">
      <w:pPr>
        <w:spacing w:line="400" w:lineRule="exact"/>
        <w:ind w:firstLine="964" w:firstLineChars="300"/>
        <w:rPr>
          <w:sz w:val="32"/>
          <w:szCs w:val="32"/>
        </w:rPr>
      </w:pPr>
      <w:bookmarkStart w:id="1" w:name="_GoBack"/>
      <w:bookmarkEnd w:id="1"/>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w:t>
      </w:r>
      <w:r>
        <w:rPr>
          <w:rFonts w:hint="eastAsia" w:ascii="方正大黑简体" w:hAnsi="方正大黑简体"/>
          <w:b/>
          <w:bCs/>
          <w:color w:val="FF0000"/>
          <w:sz w:val="32"/>
          <w:szCs w:val="32"/>
          <w:lang w:val="en-US" w:eastAsia="zh-CN"/>
        </w:rPr>
        <w:t>25</w:t>
      </w:r>
      <w:r>
        <w:rPr>
          <w:rFonts w:hint="eastAsia" w:ascii="方正大黑简体" w:hAnsi="方正大黑简体"/>
          <w:b/>
          <w:bCs/>
          <w:color w:val="FF0000"/>
          <w:sz w:val="32"/>
          <w:szCs w:val="32"/>
          <w:lang w:eastAsia="zh-CN"/>
        </w:rPr>
        <w:t>-</w:t>
      </w:r>
      <w:r>
        <w:rPr>
          <w:rFonts w:hint="eastAsia" w:ascii="方正大黑简体" w:hAnsi="方正大黑简体"/>
          <w:b/>
          <w:bCs/>
          <w:color w:val="FF0000"/>
          <w:sz w:val="32"/>
          <w:szCs w:val="32"/>
          <w:lang w:val="en-US" w:eastAsia="zh-CN"/>
        </w:rPr>
        <w:t>10</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4A732885">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sz w:val="28"/>
          <w:szCs w:val="28"/>
        </w:rPr>
        <w:t>准，莆田市自然资源局委托</w:t>
      </w:r>
      <w:r>
        <w:rPr>
          <w:rFonts w:hint="eastAsia" w:ascii="宋体" w:hAnsi="宋体"/>
          <w:sz w:val="28"/>
          <w:szCs w:val="28"/>
          <w:lang w:eastAsia="zh-CN"/>
        </w:rPr>
        <w:t>福建鸿远拍卖有限公司</w:t>
      </w:r>
      <w:r>
        <w:rPr>
          <w:rFonts w:hint="eastAsia" w:ascii="宋体" w:hAnsi="宋体"/>
          <w:color w:val="auto"/>
          <w:sz w:val="28"/>
          <w:szCs w:val="28"/>
        </w:rPr>
        <w:t>于202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29</w:t>
      </w:r>
      <w:r>
        <w:rPr>
          <w:rFonts w:hint="eastAsia" w:ascii="宋体" w:hAnsi="宋体"/>
          <w:color w:val="auto"/>
          <w:sz w:val="28"/>
          <w:szCs w:val="28"/>
        </w:rPr>
        <w:t>日上午</w:t>
      </w:r>
      <w:r>
        <w:rPr>
          <w:rFonts w:hint="eastAsia" w:ascii="宋体" w:hAnsi="宋体"/>
          <w:color w:val="auto"/>
          <w:sz w:val="28"/>
          <w:szCs w:val="28"/>
          <w:lang w:val="en-US" w:eastAsia="zh-CN"/>
        </w:rPr>
        <w:t>10</w:t>
      </w:r>
      <w:r>
        <w:rPr>
          <w:rFonts w:hint="eastAsia" w:ascii="宋体" w:hAnsi="宋体"/>
          <w:color w:val="auto"/>
          <w:sz w:val="28"/>
          <w:szCs w:val="28"/>
        </w:rPr>
        <w:t>时在莆田市政务服务中心三层拍卖大厅公开拍</w:t>
      </w:r>
      <w:r>
        <w:rPr>
          <w:rFonts w:hint="eastAsia" w:ascii="宋体" w:hAnsi="宋体"/>
          <w:color w:val="000000"/>
          <w:sz w:val="28"/>
          <w:szCs w:val="28"/>
        </w:rPr>
        <w:t>卖</w:t>
      </w:r>
      <w:r>
        <w:rPr>
          <w:rFonts w:hint="eastAsia" w:ascii="宋体" w:hAnsi="宋体"/>
          <w:color w:val="000000"/>
          <w:sz w:val="28"/>
          <w:szCs w:val="28"/>
          <w:lang w:eastAsia="zh-CN"/>
        </w:rPr>
        <w:t>PS拍-2025-</w:t>
      </w:r>
      <w:r>
        <w:rPr>
          <w:rFonts w:hint="eastAsia" w:ascii="宋体" w:hAnsi="宋体"/>
          <w:color w:val="000000"/>
          <w:sz w:val="28"/>
          <w:szCs w:val="28"/>
          <w:lang w:val="en-US" w:eastAsia="zh-CN"/>
        </w:rPr>
        <w:t>10</w:t>
      </w:r>
      <w:r>
        <w:rPr>
          <w:rFonts w:hint="eastAsia" w:ascii="宋体" w:hAnsi="宋体"/>
          <w:color w:val="000000"/>
          <w:sz w:val="28"/>
          <w:szCs w:val="28"/>
          <w:lang w:eastAsia="zh-CN"/>
        </w:rPr>
        <w:t>号</w:t>
      </w:r>
      <w:r>
        <w:rPr>
          <w:rFonts w:hint="eastAsia" w:ascii="宋体" w:hAnsi="宋体"/>
          <w:color w:val="000000"/>
          <w:sz w:val="28"/>
          <w:szCs w:val="28"/>
        </w:rPr>
        <w:t xml:space="preserve">地块的国有建设用地使用权。现将有关事项公告如下： </w:t>
      </w:r>
    </w:p>
    <w:p w14:paraId="4F042F6F">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7"/>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922"/>
        <w:gridCol w:w="2127"/>
        <w:gridCol w:w="1696"/>
        <w:gridCol w:w="1485"/>
        <w:gridCol w:w="1745"/>
        <w:gridCol w:w="852"/>
        <w:gridCol w:w="1047"/>
      </w:tblGrid>
      <w:tr w14:paraId="6D50B84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48"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0065923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127" w:type="dxa"/>
            <w:tcBorders>
              <w:top w:val="single" w:color="auto" w:sz="8" w:space="0"/>
              <w:left w:val="single" w:color="auto" w:sz="8" w:space="0"/>
              <w:bottom w:val="single" w:color="auto" w:sz="8" w:space="0"/>
              <w:right w:val="single" w:color="auto" w:sz="8" w:space="0"/>
            </w:tcBorders>
            <w:vAlign w:val="center"/>
          </w:tcPr>
          <w:p w14:paraId="66A8150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696" w:type="dxa"/>
            <w:tcBorders>
              <w:top w:val="single" w:color="auto" w:sz="8" w:space="0"/>
              <w:left w:val="single" w:color="auto" w:sz="8" w:space="0"/>
              <w:bottom w:val="single" w:color="auto" w:sz="8" w:space="0"/>
              <w:right w:val="single" w:color="auto" w:sz="8" w:space="0"/>
            </w:tcBorders>
            <w:vAlign w:val="center"/>
          </w:tcPr>
          <w:p w14:paraId="77599F0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49A314A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FF89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6A55B53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439552E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4F9197A">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3B28111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2F49FA72">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lang w:eastAsia="zh-CN"/>
              </w:rPr>
              <w:t>PS拍-2025-</w:t>
            </w:r>
            <w:r>
              <w:rPr>
                <w:rFonts w:hint="eastAsia" w:ascii="宋体" w:hAnsi="宋体"/>
                <w:color w:val="000000" w:themeColor="text1"/>
                <w:sz w:val="28"/>
                <w:szCs w:val="28"/>
                <w:lang w:val="en-US" w:eastAsia="zh-CN"/>
              </w:rPr>
              <w:t>10</w:t>
            </w:r>
            <w:r>
              <w:rPr>
                <w:rFonts w:hint="eastAsia" w:ascii="宋体" w:hAnsi="宋体"/>
                <w:color w:val="000000" w:themeColor="text1"/>
                <w:sz w:val="28"/>
                <w:szCs w:val="28"/>
                <w:lang w:eastAsia="zh-CN"/>
              </w:rPr>
              <w:t>号</w:t>
            </w:r>
            <w:r>
              <w:rPr>
                <w:rFonts w:hint="eastAsia" w:ascii="宋体" w:hAnsi="宋体"/>
                <w:color w:val="000000" w:themeColor="text1"/>
                <w:sz w:val="28"/>
                <w:szCs w:val="28"/>
              </w:rPr>
              <w:t>(</w:t>
            </w:r>
            <w:r>
              <w:rPr>
                <w:rFonts w:hint="eastAsia" w:ascii="宋体" w:hAnsi="宋体"/>
                <w:color w:val="000000" w:themeColor="text1"/>
                <w:sz w:val="28"/>
                <w:szCs w:val="28"/>
                <w:lang w:val="en-US" w:eastAsia="zh-CN"/>
              </w:rPr>
              <w:t>城厢区月塘南片区地块四</w:t>
            </w:r>
            <w:r>
              <w:rPr>
                <w:rFonts w:hint="eastAsia" w:ascii="宋体" w:hAnsi="宋体"/>
                <w:color w:val="000000" w:themeColor="text1"/>
                <w:sz w:val="28"/>
                <w:szCs w:val="28"/>
              </w:rPr>
              <w:t>)</w:t>
            </w:r>
          </w:p>
        </w:tc>
        <w:tc>
          <w:tcPr>
            <w:tcW w:w="2127" w:type="dxa"/>
            <w:tcBorders>
              <w:top w:val="single" w:color="auto" w:sz="8" w:space="0"/>
              <w:left w:val="single" w:color="auto" w:sz="8" w:space="0"/>
              <w:bottom w:val="single" w:color="auto" w:sz="8" w:space="0"/>
              <w:right w:val="single" w:color="auto" w:sz="8" w:space="0"/>
            </w:tcBorders>
            <w:vAlign w:val="center"/>
          </w:tcPr>
          <w:p w14:paraId="0F9D404E">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莆田市文献分区单元月塘南基本单元(350302-05-H2) 新梅路南侧地块详细规划范围内</w:t>
            </w:r>
          </w:p>
        </w:tc>
        <w:tc>
          <w:tcPr>
            <w:tcW w:w="1696" w:type="dxa"/>
            <w:tcBorders>
              <w:top w:val="single" w:color="auto" w:sz="8" w:space="0"/>
              <w:left w:val="single" w:color="auto" w:sz="8" w:space="0"/>
              <w:bottom w:val="single" w:color="auto" w:sz="8" w:space="0"/>
              <w:right w:val="single" w:color="auto" w:sz="8" w:space="0"/>
            </w:tcBorders>
            <w:vAlign w:val="center"/>
          </w:tcPr>
          <w:p w14:paraId="5B694200">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居住用地-城镇住宅及服务设施用地</w:t>
            </w:r>
            <w:r>
              <w:rPr>
                <w:rFonts w:hint="eastAsia" w:ascii="宋体" w:hAnsi="宋体"/>
                <w:color w:val="000000" w:themeColor="text1"/>
                <w:sz w:val="28"/>
                <w:szCs w:val="28"/>
                <w:lang w:eastAsia="zh-CN"/>
              </w:rPr>
              <w:t>、</w:t>
            </w:r>
            <w:r>
              <w:rPr>
                <w:rFonts w:hint="eastAsia" w:ascii="宋体" w:hAnsi="宋体"/>
                <w:color w:val="000000" w:themeColor="text1"/>
                <w:sz w:val="28"/>
                <w:szCs w:val="28"/>
              </w:rPr>
              <w:t>商业服务业用地-商业用地-零售商业用地</w:t>
            </w:r>
          </w:p>
        </w:tc>
        <w:tc>
          <w:tcPr>
            <w:tcW w:w="1485" w:type="dxa"/>
            <w:tcBorders>
              <w:top w:val="single" w:color="auto" w:sz="8" w:space="0"/>
              <w:left w:val="single" w:color="auto" w:sz="8" w:space="0"/>
              <w:bottom w:val="single" w:color="auto" w:sz="8" w:space="0"/>
              <w:right w:val="single" w:color="auto" w:sz="8" w:space="0"/>
            </w:tcBorders>
            <w:vAlign w:val="center"/>
          </w:tcPr>
          <w:p w14:paraId="651E8249">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60949.09</w:t>
            </w:r>
          </w:p>
        </w:tc>
        <w:tc>
          <w:tcPr>
            <w:tcW w:w="1745" w:type="dxa"/>
            <w:tcBorders>
              <w:top w:val="single" w:color="auto" w:sz="8" w:space="0"/>
              <w:left w:val="single" w:color="auto" w:sz="8" w:space="0"/>
              <w:bottom w:val="single" w:color="auto" w:sz="8" w:space="0"/>
              <w:right w:val="single" w:color="auto" w:sz="8" w:space="0"/>
            </w:tcBorders>
            <w:vAlign w:val="center"/>
          </w:tcPr>
          <w:p w14:paraId="54AE6058">
            <w:pPr>
              <w:widowControl/>
              <w:spacing w:before="100" w:beforeAutospacing="1" w:after="100" w:afterAutospacing="1"/>
              <w:jc w:val="center"/>
              <w:rPr>
                <w:rFonts w:hint="default" w:ascii="宋体" w:hAnsi="宋体" w:eastAsia="宋体"/>
                <w:color w:val="000000" w:themeColor="text1"/>
                <w:sz w:val="28"/>
                <w:szCs w:val="28"/>
                <w:lang w:val="en-US" w:eastAsia="zh-CN"/>
              </w:rPr>
            </w:pPr>
            <w:r>
              <w:rPr>
                <w:rFonts w:hint="default" w:ascii="宋体" w:hAnsi="宋体" w:eastAsia="宋体"/>
                <w:color w:val="000000" w:themeColor="text1"/>
                <w:sz w:val="28"/>
                <w:szCs w:val="28"/>
                <w:lang w:val="en-US" w:eastAsia="zh-CN"/>
              </w:rPr>
              <w:t>居住用地-城镇住宅及服务设施用地70年、商业服务业用地-商业用地-零售商业用地40年</w:t>
            </w:r>
          </w:p>
        </w:tc>
        <w:tc>
          <w:tcPr>
            <w:tcW w:w="852" w:type="dxa"/>
            <w:tcBorders>
              <w:top w:val="single" w:color="auto" w:sz="8" w:space="0"/>
              <w:left w:val="single" w:color="auto" w:sz="8" w:space="0"/>
              <w:bottom w:val="single" w:color="auto" w:sz="8" w:space="0"/>
              <w:right w:val="single" w:color="auto" w:sz="8" w:space="0"/>
            </w:tcBorders>
            <w:vAlign w:val="center"/>
          </w:tcPr>
          <w:p w14:paraId="203A6527">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64BA842F">
            <w:pPr>
              <w:widowControl/>
              <w:spacing w:before="100" w:beforeAutospacing="1" w:after="100" w:afterAutospacing="1"/>
              <w:jc w:val="center"/>
              <w:rPr>
                <w:rFonts w:hint="default" w:ascii="宋体" w:hAnsi="宋体" w:eastAsia="宋体"/>
                <w:color w:val="000000" w:themeColor="text1"/>
                <w:sz w:val="28"/>
                <w:szCs w:val="28"/>
                <w:lang w:val="en-US" w:eastAsia="zh-CN"/>
              </w:rPr>
            </w:pPr>
            <w:r>
              <w:rPr>
                <w:rFonts w:hint="eastAsia" w:ascii="宋体" w:hAnsi="宋体"/>
                <w:color w:val="000000" w:themeColor="text1"/>
                <w:sz w:val="28"/>
                <w:szCs w:val="28"/>
                <w:lang w:val="en-US" w:eastAsia="zh-CN"/>
              </w:rPr>
              <w:t>20000</w:t>
            </w:r>
          </w:p>
        </w:tc>
      </w:tr>
    </w:tbl>
    <w:p w14:paraId="66AA37FE">
      <w:pPr>
        <w:spacing w:line="400" w:lineRule="exact"/>
        <w:ind w:firstLine="560" w:firstLineChars="200"/>
        <w:rPr>
          <w:color w:val="0C0C0C"/>
          <w:sz w:val="28"/>
          <w:szCs w:val="28"/>
        </w:rPr>
      </w:pPr>
      <w:r>
        <w:rPr>
          <w:rFonts w:hint="eastAsia"/>
          <w:color w:val="000000" w:themeColor="text1"/>
          <w:sz w:val="28"/>
          <w:szCs w:val="28"/>
        </w:rPr>
        <w:t>该宗地出让规划条件以莆田市自然资源局</w:t>
      </w:r>
      <w:bookmarkStart w:id="0" w:name="OLE_LINK1"/>
      <w:r>
        <w:rPr>
          <w:rFonts w:hint="eastAsia"/>
          <w:color w:val="000000" w:themeColor="text1"/>
          <w:sz w:val="28"/>
          <w:szCs w:val="28"/>
        </w:rPr>
        <w:t>莆自然资审</w:t>
      </w:r>
      <w:r>
        <w:rPr>
          <w:rFonts w:hint="eastAsia" w:ascii="宋体" w:hAnsi="宋体"/>
          <w:color w:val="0C0C0C"/>
          <w:sz w:val="28"/>
          <w:szCs w:val="28"/>
        </w:rPr>
        <w:t>〔202</w:t>
      </w:r>
      <w:r>
        <w:rPr>
          <w:rFonts w:hint="eastAsia"/>
          <w:color w:val="000000" w:themeColor="text1"/>
          <w:sz w:val="28"/>
          <w:szCs w:val="28"/>
        </w:rPr>
        <w:t>5〕</w:t>
      </w:r>
      <w:r>
        <w:rPr>
          <w:rFonts w:hint="eastAsia"/>
          <w:color w:val="000000" w:themeColor="text1"/>
          <w:sz w:val="28"/>
          <w:szCs w:val="28"/>
          <w:lang w:val="en-US" w:eastAsia="zh-CN"/>
        </w:rPr>
        <w:t>26</w:t>
      </w:r>
      <w:r>
        <w:rPr>
          <w:rFonts w:hint="eastAsia"/>
          <w:color w:val="000000" w:themeColor="text1"/>
          <w:sz w:val="28"/>
          <w:szCs w:val="28"/>
        </w:rPr>
        <w:t>号</w:t>
      </w:r>
      <w:bookmarkEnd w:id="0"/>
      <w:r>
        <w:rPr>
          <w:rFonts w:hint="eastAsia"/>
          <w:color w:val="000000" w:themeColor="text1"/>
          <w:sz w:val="28"/>
          <w:szCs w:val="28"/>
        </w:rPr>
        <w:t>为准。</w:t>
      </w:r>
      <w:r>
        <w:rPr>
          <w:rFonts w:hint="eastAsia" w:ascii="宋体" w:hAnsi="宋体"/>
          <w:color w:val="000000" w:themeColor="text1"/>
          <w:sz w:val="28"/>
          <w:szCs w:val="28"/>
        </w:rPr>
        <w:t>(详细资料见地块出让文件)。</w:t>
      </w:r>
    </w:p>
    <w:p w14:paraId="289F9B44">
      <w:pPr>
        <w:spacing w:line="400" w:lineRule="exact"/>
        <w:ind w:firstLine="560" w:firstLineChars="200"/>
        <w:rPr>
          <w:color w:val="0C0C0C"/>
          <w:sz w:val="28"/>
          <w:szCs w:val="28"/>
        </w:rPr>
      </w:pPr>
      <w:r>
        <w:rPr>
          <w:rFonts w:hint="eastAsia"/>
          <w:color w:val="0C0C0C"/>
          <w:sz w:val="28"/>
          <w:szCs w:val="28"/>
        </w:rPr>
        <w:t>二、竞买资格要求及确认</w:t>
      </w:r>
    </w:p>
    <w:p w14:paraId="050AA420">
      <w:pPr>
        <w:widowControl/>
        <w:spacing w:line="400" w:lineRule="exact"/>
        <w:ind w:firstLine="560" w:firstLineChars="200"/>
        <w:jc w:val="left"/>
        <w:rPr>
          <w:rFonts w:hint="eastAsia" w:ascii="宋体" w:hAnsi="宋体" w:cs="宋体"/>
          <w:color w:val="0C0C0C"/>
          <w:sz w:val="28"/>
          <w:szCs w:val="28"/>
          <w:shd w:val="clear" w:color="auto" w:fill="FFFFFF"/>
        </w:rPr>
      </w:pPr>
      <w:r>
        <w:rPr>
          <w:rFonts w:hint="eastAsia" w:ascii="宋体" w:hAnsi="宋体" w:cs="宋体"/>
          <w:color w:val="333333"/>
          <w:sz w:val="28"/>
          <w:szCs w:val="28"/>
          <w:shd w:val="clear" w:color="auto" w:fill="FFFFFF"/>
          <w:lang w:bidi="ar"/>
        </w:rPr>
        <w:t>中华人民共和国境内外具有房地产开发资质的企业</w:t>
      </w:r>
      <w:r>
        <w:rPr>
          <w:rFonts w:hint="eastAsia" w:ascii="宋体" w:hAnsi="宋体" w:cs="宋体"/>
          <w:color w:val="0C0C0C"/>
          <w:sz w:val="28"/>
          <w:szCs w:val="28"/>
          <w:shd w:val="clear" w:color="auto" w:fill="FFFFFF"/>
        </w:rPr>
        <w:t>，除法律、法规和省政府的闽</w:t>
      </w:r>
      <w:r>
        <w:rPr>
          <w:rFonts w:hint="eastAsia" w:ascii="宋体" w:hAnsi="宋体"/>
          <w:color w:val="0C0C0C"/>
          <w:sz w:val="28"/>
          <w:szCs w:val="28"/>
        </w:rPr>
        <w:t>〔20</w:t>
      </w:r>
      <w:r>
        <w:rPr>
          <w:rFonts w:hint="eastAsia" w:ascii="宋体" w:hAnsi="宋体"/>
          <w:color w:val="0C0C0C"/>
          <w:sz w:val="28"/>
          <w:szCs w:val="28"/>
          <w:lang w:val="en-US" w:eastAsia="zh-CN"/>
        </w:rPr>
        <w:t>17</w:t>
      </w:r>
      <w:r>
        <w:rPr>
          <w:rFonts w:hint="eastAsia" w:ascii="宋体" w:hAnsi="宋体"/>
          <w:color w:val="0C0C0C"/>
          <w:sz w:val="28"/>
          <w:szCs w:val="28"/>
        </w:rPr>
        <w:t>〕</w:t>
      </w:r>
      <w:r>
        <w:rPr>
          <w:rFonts w:hint="eastAsia" w:ascii="宋体" w:hAnsi="宋体" w:cs="宋体"/>
          <w:color w:val="0C0C0C"/>
          <w:sz w:val="28"/>
          <w:szCs w:val="28"/>
          <w:shd w:val="clear" w:color="auto" w:fill="FFFFFF"/>
        </w:rPr>
        <w:t>43号文件另有规定外，均可申请参加本次国有建设用地使用权拍卖活动。</w:t>
      </w:r>
    </w:p>
    <w:p w14:paraId="2A7EB22E">
      <w:pPr>
        <w:widowControl/>
        <w:spacing w:line="400" w:lineRule="exact"/>
        <w:ind w:firstLine="560" w:firstLineChars="200"/>
        <w:jc w:val="left"/>
      </w:pPr>
      <w:r>
        <w:rPr>
          <w:rFonts w:hint="eastAsia" w:ascii="宋体" w:hAnsi="宋体" w:cs="宋体"/>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14:paraId="115493CC">
      <w:pPr>
        <w:spacing w:line="400" w:lineRule="exact"/>
        <w:ind w:firstLine="560" w:firstLineChars="200"/>
        <w:rPr>
          <w:color w:val="0C0C0C"/>
          <w:sz w:val="28"/>
          <w:szCs w:val="28"/>
        </w:rPr>
      </w:pPr>
      <w:r>
        <w:rPr>
          <w:rFonts w:hint="eastAsia"/>
          <w:color w:val="0C0C0C"/>
          <w:sz w:val="28"/>
          <w:szCs w:val="28"/>
        </w:rPr>
        <w:t>三、 确定竞得人方式</w:t>
      </w:r>
    </w:p>
    <w:p w14:paraId="724E70BA">
      <w:pPr>
        <w:spacing w:line="400" w:lineRule="exact"/>
        <w:ind w:firstLine="560" w:firstLineChars="20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hint="eastAsia" w:ascii="宋体" w:hAnsi="宋体" w:cs="宋体"/>
          <w:bCs/>
          <w:sz w:val="28"/>
          <w:szCs w:val="28"/>
        </w:rPr>
        <w:t>拍卖出让</w:t>
      </w:r>
      <w:r>
        <w:rPr>
          <w:rFonts w:hint="eastAsia"/>
          <w:sz w:val="28"/>
          <w:szCs w:val="28"/>
        </w:rPr>
        <w:t>，</w:t>
      </w:r>
      <w:r>
        <w:rPr>
          <w:rFonts w:hint="eastAsia"/>
          <w:color w:val="000000" w:themeColor="text1"/>
          <w:sz w:val="28"/>
          <w:szCs w:val="28"/>
        </w:rPr>
        <w:t>拍卖起始价9.62</w:t>
      </w:r>
      <w:r>
        <w:rPr>
          <w:rFonts w:hint="eastAsia"/>
          <w:color w:val="000000" w:themeColor="text1"/>
          <w:sz w:val="28"/>
          <w:szCs w:val="28"/>
          <w:lang w:val="en-US" w:eastAsia="zh-CN"/>
        </w:rPr>
        <w:t>亿</w:t>
      </w:r>
      <w:r>
        <w:rPr>
          <w:rFonts w:hint="eastAsia"/>
          <w:color w:val="000000" w:themeColor="text1"/>
          <w:sz w:val="28"/>
          <w:szCs w:val="28"/>
        </w:rPr>
        <w:t>元，加价幅度</w:t>
      </w:r>
      <w:r>
        <w:rPr>
          <w:rFonts w:hint="eastAsia"/>
          <w:color w:val="000000" w:themeColor="text1"/>
          <w:sz w:val="28"/>
          <w:szCs w:val="28"/>
          <w:lang w:val="en-US" w:eastAsia="zh-CN"/>
        </w:rPr>
        <w:t>800</w:t>
      </w:r>
      <w:r>
        <w:rPr>
          <w:rFonts w:hint="eastAsia"/>
          <w:color w:val="000000" w:themeColor="text1"/>
          <w:sz w:val="28"/>
          <w:szCs w:val="28"/>
        </w:rPr>
        <w:t>万元，按价高者得原则确定竞得人。</w:t>
      </w:r>
    </w:p>
    <w:p w14:paraId="0E134AD9">
      <w:pPr>
        <w:spacing w:line="400" w:lineRule="exact"/>
        <w:ind w:firstLine="560" w:firstLineChars="200"/>
        <w:rPr>
          <w:color w:val="000000" w:themeColor="text1"/>
          <w:sz w:val="28"/>
          <w:szCs w:val="28"/>
        </w:rPr>
      </w:pPr>
      <w:r>
        <w:rPr>
          <w:rFonts w:hint="eastAsia" w:ascii="宋体" w:hAnsi="宋体" w:cs="宋体"/>
          <w:color w:val="000000" w:themeColor="text1"/>
          <w:kern w:val="0"/>
          <w:sz w:val="28"/>
          <w:szCs w:val="28"/>
        </w:rPr>
        <w:t>四、</w:t>
      </w:r>
      <w:r>
        <w:rPr>
          <w:rFonts w:hint="eastAsia"/>
          <w:color w:val="000000" w:themeColor="text1"/>
          <w:sz w:val="28"/>
          <w:szCs w:val="28"/>
        </w:rPr>
        <w:t>竞买保证金</w:t>
      </w:r>
    </w:p>
    <w:p w14:paraId="3568821A">
      <w:pPr>
        <w:spacing w:line="400" w:lineRule="exact"/>
        <w:ind w:firstLine="557" w:firstLineChars="199"/>
        <w:rPr>
          <w:sz w:val="28"/>
          <w:szCs w:val="28"/>
        </w:rPr>
      </w:pPr>
      <w:r>
        <w:rPr>
          <w:rFonts w:hint="eastAsia"/>
          <w:color w:val="000000" w:themeColor="text1"/>
          <w:sz w:val="28"/>
          <w:szCs w:val="28"/>
        </w:rPr>
        <w:t>参加本次竞买保证金：</w:t>
      </w:r>
      <w:r>
        <w:rPr>
          <w:rFonts w:hint="eastAsia"/>
          <w:color w:val="000000" w:themeColor="text1"/>
          <w:sz w:val="28"/>
          <w:szCs w:val="28"/>
          <w:lang w:eastAsia="zh-CN"/>
        </w:rPr>
        <w:t>PS拍-2025-</w:t>
      </w:r>
      <w:r>
        <w:rPr>
          <w:rFonts w:hint="eastAsia"/>
          <w:color w:val="000000" w:themeColor="text1"/>
          <w:sz w:val="28"/>
          <w:szCs w:val="28"/>
          <w:lang w:val="en-US" w:eastAsia="zh-CN"/>
        </w:rPr>
        <w:t>10</w:t>
      </w:r>
      <w:r>
        <w:rPr>
          <w:rFonts w:hint="eastAsia"/>
          <w:color w:val="000000" w:themeColor="text1"/>
          <w:sz w:val="28"/>
          <w:szCs w:val="28"/>
          <w:lang w:eastAsia="zh-CN"/>
        </w:rPr>
        <w:t>号</w:t>
      </w:r>
      <w:r>
        <w:rPr>
          <w:rFonts w:hint="eastAsia"/>
          <w:color w:val="000000" w:themeColor="text1"/>
          <w:sz w:val="28"/>
          <w:szCs w:val="28"/>
        </w:rPr>
        <w:t>地块为人民币</w:t>
      </w:r>
      <w:r>
        <w:rPr>
          <w:rFonts w:hint="eastAsia"/>
          <w:color w:val="000000" w:themeColor="text1"/>
          <w:sz w:val="28"/>
          <w:szCs w:val="28"/>
          <w:lang w:val="en-US" w:eastAsia="zh-CN"/>
        </w:rPr>
        <w:t>贰</w:t>
      </w:r>
      <w:r>
        <w:rPr>
          <w:rFonts w:hint="eastAsia"/>
          <w:color w:val="auto"/>
          <w:sz w:val="28"/>
          <w:szCs w:val="28"/>
          <w:lang w:val="en-US" w:eastAsia="zh-CN"/>
        </w:rPr>
        <w:t>亿</w:t>
      </w:r>
      <w:r>
        <w:rPr>
          <w:rFonts w:hint="eastAsia"/>
          <w:color w:val="auto"/>
          <w:sz w:val="28"/>
          <w:szCs w:val="28"/>
        </w:rPr>
        <w:t>元整（¥</w:t>
      </w:r>
      <w:r>
        <w:rPr>
          <w:rFonts w:hint="eastAsia"/>
          <w:color w:val="auto"/>
          <w:sz w:val="28"/>
          <w:szCs w:val="28"/>
          <w:lang w:val="en-US" w:eastAsia="zh-CN"/>
        </w:rPr>
        <w:t>200</w:t>
      </w:r>
      <w:r>
        <w:rPr>
          <w:rFonts w:hint="eastAsia"/>
          <w:color w:val="auto"/>
          <w:sz w:val="28"/>
          <w:szCs w:val="28"/>
        </w:rPr>
        <w:t>0</w:t>
      </w:r>
      <w:r>
        <w:rPr>
          <w:rFonts w:hint="eastAsia"/>
          <w:color w:val="auto"/>
          <w:sz w:val="28"/>
          <w:szCs w:val="28"/>
          <w:lang w:val="en-US" w:eastAsia="zh-CN"/>
        </w:rPr>
        <w:t>0</w:t>
      </w:r>
      <w:r>
        <w:rPr>
          <w:rFonts w:hint="eastAsia"/>
          <w:color w:val="auto"/>
          <w:sz w:val="28"/>
          <w:szCs w:val="28"/>
        </w:rPr>
        <w:t>万元）。竞买保证金须在20</w:t>
      </w:r>
      <w:r>
        <w:rPr>
          <w:rFonts w:hint="eastAsia"/>
          <w:color w:val="auto"/>
          <w:sz w:val="28"/>
          <w:szCs w:val="28"/>
          <w:lang w:val="en-US" w:eastAsia="zh-CN"/>
        </w:rPr>
        <w:t>25</w:t>
      </w:r>
      <w:r>
        <w:rPr>
          <w:rFonts w:hint="eastAsia"/>
          <w:color w:val="auto"/>
          <w:sz w:val="28"/>
          <w:szCs w:val="28"/>
        </w:rPr>
        <w:t>年</w:t>
      </w:r>
      <w:r>
        <w:rPr>
          <w:rFonts w:hint="eastAsia"/>
          <w:color w:val="auto"/>
          <w:sz w:val="28"/>
          <w:szCs w:val="28"/>
          <w:lang w:val="en-US" w:eastAsia="zh-CN"/>
        </w:rPr>
        <w:t>7</w:t>
      </w:r>
      <w:r>
        <w:rPr>
          <w:rFonts w:hint="eastAsia"/>
          <w:color w:val="auto"/>
          <w:sz w:val="28"/>
          <w:szCs w:val="28"/>
        </w:rPr>
        <w:t>月</w:t>
      </w:r>
      <w:r>
        <w:rPr>
          <w:rFonts w:hint="eastAsia"/>
          <w:color w:val="auto"/>
          <w:sz w:val="28"/>
          <w:szCs w:val="28"/>
          <w:lang w:val="en-US" w:eastAsia="zh-CN"/>
        </w:rPr>
        <w:t>28</w:t>
      </w:r>
      <w:r>
        <w:rPr>
          <w:rFonts w:hint="eastAsia"/>
          <w:color w:val="auto"/>
          <w:sz w:val="28"/>
          <w:szCs w:val="28"/>
        </w:rPr>
        <w:t>日17时30分之前缴</w:t>
      </w:r>
      <w:r>
        <w:rPr>
          <w:rFonts w:hint="eastAsia"/>
          <w:sz w:val="28"/>
          <w:szCs w:val="28"/>
        </w:rPr>
        <w:t>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6F84536D">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w:t>
      </w:r>
      <w:r>
        <w:rPr>
          <w:rFonts w:hint="eastAsia" w:ascii="宋体" w:hAnsi="宋体" w:cs="宋体"/>
          <w:sz w:val="28"/>
          <w:szCs w:val="28"/>
        </w:rPr>
        <w:t>开户行：兴业银行莆田城厢支行，开户单位：莆田市自然资源局，账号：145050100100390000</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eastAsia="宋体"/>
          <w:color w:val="0C0C0C"/>
          <w:sz w:val="28"/>
          <w:szCs w:val="28"/>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w:t>
      </w:r>
      <w:r>
        <w:rPr>
          <w:rFonts w:hint="eastAsia" w:ascii="宋体" w:hAnsi="宋体" w:cs="宋体"/>
          <w:sz w:val="28"/>
          <w:szCs w:val="28"/>
        </w:rPr>
        <w:t>开户行：交通银行股份有限公司莆田分行，开户单位：莆田市自然资源局，账号：353003660013000231860</w:t>
      </w:r>
      <w:r>
        <w:rPr>
          <w:rFonts w:hint="eastAsia" w:ascii="宋体" w:hAnsi="宋体" w:cs="宋体"/>
          <w:sz w:val="28"/>
          <w:szCs w:val="28"/>
          <w:lang w:eastAsia="zh-CN"/>
        </w:rPr>
        <w:t>；</w:t>
      </w:r>
      <w:r>
        <w:rPr>
          <w:rFonts w:hint="eastAsia" w:ascii="宋体" w:hAnsi="宋体" w:cs="宋体"/>
          <w:sz w:val="28"/>
          <w:szCs w:val="28"/>
          <w:lang w:val="en-US" w:eastAsia="zh-CN"/>
        </w:rPr>
        <w:t>7、</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lang w:eastAsia="zh-CN"/>
        </w:rPr>
        <w:t>。</w:t>
      </w:r>
    </w:p>
    <w:p w14:paraId="0D9F9281">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D071134">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4D37931">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p>
    <w:p w14:paraId="769E0134">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rPr>
        <w:t>六、购买材料时间</w:t>
      </w:r>
    </w:p>
    <w:p w14:paraId="6D39EC37">
      <w:pPr>
        <w:spacing w:line="400" w:lineRule="exact"/>
        <w:ind w:firstLine="557" w:firstLineChars="199"/>
        <w:rPr>
          <w:rFonts w:ascii="宋体" w:hAnsi="宋体"/>
          <w:color w:val="auto"/>
          <w:sz w:val="28"/>
          <w:szCs w:val="28"/>
        </w:rPr>
      </w:pPr>
      <w:r>
        <w:rPr>
          <w:rFonts w:hint="eastAsia" w:ascii="宋体" w:hAnsi="宋体"/>
          <w:color w:val="000000" w:themeColor="text1"/>
          <w:sz w:val="28"/>
          <w:szCs w:val="28"/>
        </w:rPr>
        <w:t>有意竞买者请于</w:t>
      </w:r>
      <w:r>
        <w:rPr>
          <w:rFonts w:hint="eastAsia" w:ascii="宋体" w:hAnsi="宋体"/>
          <w:color w:val="auto"/>
          <w:sz w:val="28"/>
          <w:szCs w:val="28"/>
        </w:rPr>
        <w:t>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日至2</w:t>
      </w:r>
      <w:r>
        <w:rPr>
          <w:rFonts w:hint="eastAsia" w:ascii="宋体" w:hAnsi="宋体"/>
          <w:color w:val="auto"/>
          <w:sz w:val="28"/>
          <w:szCs w:val="28"/>
        </w:rPr>
        <w:t>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28</w:t>
      </w:r>
      <w:r>
        <w:rPr>
          <w:rFonts w:hint="eastAsia" w:ascii="宋体" w:hAnsi="宋体"/>
          <w:color w:val="auto"/>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14:paraId="436BDB06">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auto"/>
          <w:sz w:val="28"/>
          <w:szCs w:val="28"/>
        </w:rPr>
        <w:t>看样时间202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日至2</w:t>
      </w:r>
      <w:r>
        <w:rPr>
          <w:rFonts w:hint="eastAsia" w:ascii="宋体" w:hAnsi="宋体"/>
          <w:color w:val="auto"/>
          <w:sz w:val="28"/>
          <w:szCs w:val="28"/>
        </w:rPr>
        <w:t>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28</w:t>
      </w:r>
      <w:r>
        <w:rPr>
          <w:rFonts w:hint="eastAsia" w:ascii="宋体" w:hAnsi="宋体"/>
          <w:color w:val="auto"/>
          <w:sz w:val="28"/>
          <w:szCs w:val="28"/>
        </w:rPr>
        <w:t>日，有意竞买者可</w:t>
      </w:r>
      <w:r>
        <w:rPr>
          <w:rFonts w:hint="eastAsia" w:ascii="宋体" w:hAnsi="宋体"/>
          <w:color w:val="000000" w:themeColor="text1"/>
          <w:sz w:val="28"/>
          <w:szCs w:val="28"/>
        </w:rPr>
        <w:t>自行踏</w:t>
      </w:r>
      <w:r>
        <w:rPr>
          <w:rFonts w:hint="eastAsia" w:ascii="宋体" w:hAnsi="宋体"/>
          <w:color w:val="0C0C0C"/>
          <w:sz w:val="28"/>
          <w:szCs w:val="28"/>
        </w:rPr>
        <w:t>勘现场，需由拍卖人引导的，可与</w:t>
      </w:r>
      <w:r>
        <w:rPr>
          <w:rFonts w:hint="eastAsia" w:ascii="宋体" w:hAnsi="宋体"/>
          <w:color w:val="0C0C0C"/>
          <w:sz w:val="28"/>
          <w:szCs w:val="28"/>
          <w:lang w:eastAsia="zh-CN"/>
        </w:rPr>
        <w:t>福建鸿远拍卖有限公司</w:t>
      </w:r>
      <w:r>
        <w:rPr>
          <w:rFonts w:hint="eastAsia" w:ascii="宋体" w:hAnsi="宋体"/>
          <w:color w:val="0C0C0C"/>
          <w:sz w:val="28"/>
          <w:szCs w:val="28"/>
        </w:rPr>
        <w:t>联系。</w:t>
      </w:r>
    </w:p>
    <w:p w14:paraId="68F024E5">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特别提示</w:t>
      </w:r>
    </w:p>
    <w:p w14:paraId="4C69DFCA">
      <w:pPr>
        <w:numPr>
          <w:ilvl w:val="0"/>
          <w:numId w:val="0"/>
        </w:numPr>
        <w:spacing w:line="400" w:lineRule="exact"/>
        <w:ind w:firstLine="560" w:firstLineChars="200"/>
        <w:rPr>
          <w:rFonts w:hint="eastAsia" w:ascii="宋体" w:hAnsi="宋体"/>
          <w:color w:val="auto"/>
          <w:sz w:val="28"/>
          <w:szCs w:val="28"/>
        </w:rPr>
      </w:pPr>
      <w:r>
        <w:rPr>
          <w:rFonts w:hint="eastAsia" w:ascii="宋体" w:hAnsi="宋体"/>
          <w:color w:val="0C0C0C"/>
          <w:sz w:val="28"/>
          <w:szCs w:val="28"/>
        </w:rPr>
        <w:t>1、城厢区月塘南片区排涝工程(新梅溪(沟头片区至新梅路段)排水管涵改道工程)位于该</w:t>
      </w:r>
      <w:r>
        <w:rPr>
          <w:rFonts w:hint="eastAsia" w:ascii="宋体" w:hAnsi="宋体"/>
          <w:color w:val="0C0C0C"/>
          <w:sz w:val="28"/>
          <w:szCs w:val="28"/>
          <w:lang w:val="en-US" w:eastAsia="zh-CN"/>
        </w:rPr>
        <w:t>宗地</w:t>
      </w:r>
      <w:r>
        <w:rPr>
          <w:rFonts w:hint="eastAsia" w:ascii="宋体" w:hAnsi="宋体"/>
          <w:color w:val="0C0C0C"/>
          <w:sz w:val="28"/>
          <w:szCs w:val="28"/>
        </w:rPr>
        <w:t>东侧红线与建筑退距线之间，竞得人项目施工时须注意保护，若有损毁由竞得</w:t>
      </w:r>
      <w:r>
        <w:rPr>
          <w:rFonts w:hint="eastAsia" w:ascii="宋体" w:hAnsi="宋体"/>
          <w:color w:val="auto"/>
          <w:sz w:val="28"/>
          <w:szCs w:val="28"/>
        </w:rPr>
        <w:t>人自行修缮并承担费用。</w:t>
      </w:r>
    </w:p>
    <w:p w14:paraId="04752BFA">
      <w:pPr>
        <w:spacing w:line="420" w:lineRule="exact"/>
        <w:ind w:firstLine="560" w:firstLineChars="200"/>
        <w:rPr>
          <w:rFonts w:hint="eastAsia" w:ascii="宋体" w:hAnsi="宋体"/>
          <w:color w:val="auto"/>
          <w:sz w:val="28"/>
          <w:szCs w:val="28"/>
        </w:rPr>
      </w:pPr>
      <w:r>
        <w:rPr>
          <w:rFonts w:hint="eastAsia" w:ascii="宋体" w:hAnsi="宋体"/>
          <w:color w:val="auto"/>
          <w:sz w:val="28"/>
          <w:szCs w:val="28"/>
        </w:rPr>
        <w:t>2、</w:t>
      </w:r>
      <w:r>
        <w:rPr>
          <w:rFonts w:hint="eastAsia" w:ascii="宋体" w:hAnsi="宋体" w:eastAsia="宋体" w:cs="宋体"/>
          <w:bCs/>
          <w:color w:val="auto"/>
          <w:sz w:val="28"/>
          <w:szCs w:val="28"/>
          <w:lang w:val="en-US" w:eastAsia="zh-CN"/>
        </w:rPr>
        <w:t>该宗地新建楼盘一手房户，适龄子女凭《商品房买卖合同》且已落户的可纳入南门学校初中部划片范围，二手房户按照当年招生政策接受调剂。</w:t>
      </w:r>
    </w:p>
    <w:p w14:paraId="0FC070BB">
      <w:pPr>
        <w:numPr>
          <w:ilvl w:val="0"/>
          <w:numId w:val="0"/>
        </w:numPr>
        <w:spacing w:line="400" w:lineRule="exact"/>
        <w:ind w:firstLine="560" w:firstLineChars="200"/>
        <w:rPr>
          <w:rFonts w:hint="eastAsia" w:ascii="宋体" w:hAnsi="宋体"/>
          <w:color w:val="0C0C0C"/>
          <w:sz w:val="28"/>
          <w:szCs w:val="28"/>
        </w:rPr>
      </w:pPr>
      <w:r>
        <w:rPr>
          <w:rFonts w:hint="eastAsia" w:ascii="宋体" w:hAnsi="宋体"/>
          <w:color w:val="0C0C0C"/>
          <w:sz w:val="28"/>
          <w:szCs w:val="28"/>
        </w:rPr>
        <w:t>3、竞得人在签订《国有建设用地使用权出让合同》的同时，应与莆田市城厢区人民政府签订《城厢区月塘南片区地块四无偿配建公共配套服务设施协议书》</w:t>
      </w:r>
      <w:r>
        <w:rPr>
          <w:rFonts w:hint="eastAsia" w:ascii="宋体" w:hAnsi="宋体"/>
          <w:color w:val="0C0C0C"/>
          <w:sz w:val="28"/>
          <w:szCs w:val="28"/>
          <w:lang w:eastAsia="zh-CN"/>
        </w:rPr>
        <w:t>，</w:t>
      </w:r>
      <w:r>
        <w:rPr>
          <w:rFonts w:hint="eastAsia" w:ascii="宋体" w:hAnsi="宋体"/>
          <w:color w:val="0C0C0C"/>
          <w:sz w:val="28"/>
          <w:szCs w:val="28"/>
        </w:rPr>
        <w:t>具体内容以《莆田市城厢区人民政府关于城厢区月塘南片区地块四配建相关设施的函》(莆城政函〔2025〕110号)为准</w:t>
      </w:r>
      <w:r>
        <w:rPr>
          <w:rFonts w:hint="eastAsia" w:ascii="宋体" w:hAnsi="宋体"/>
          <w:color w:val="0C0C0C"/>
          <w:sz w:val="28"/>
          <w:szCs w:val="28"/>
          <w:lang w:eastAsia="zh-CN"/>
        </w:rPr>
        <w:t>，</w:t>
      </w:r>
      <w:r>
        <w:rPr>
          <w:rFonts w:hint="eastAsia" w:ascii="宋体" w:hAnsi="宋体" w:cs="Times New Roman"/>
          <w:color w:val="000000" w:themeColor="text1"/>
          <w:sz w:val="28"/>
          <w:szCs w:val="28"/>
          <w:lang w:val="en-US" w:eastAsia="zh-CN"/>
        </w:rPr>
        <w:t>详见</w:t>
      </w:r>
      <w:r>
        <w:rPr>
          <w:rFonts w:hint="eastAsia" w:ascii="宋体" w:hAnsi="宋体"/>
          <w:color w:val="0C0C0C"/>
          <w:sz w:val="28"/>
          <w:szCs w:val="28"/>
        </w:rPr>
        <w:t>《城厢区月塘南片区地块四无偿配建公共配套服务设施协议书》</w:t>
      </w:r>
      <w:r>
        <w:rPr>
          <w:rFonts w:hint="eastAsia" w:ascii="宋体" w:hAnsi="宋体" w:cs="Times New Roman"/>
          <w:color w:val="000000" w:themeColor="text1"/>
          <w:sz w:val="28"/>
          <w:szCs w:val="28"/>
        </w:rPr>
        <w:t>。</w:t>
      </w:r>
    </w:p>
    <w:p w14:paraId="6D81B447">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lang w:val="en-US" w:eastAsia="zh-CN"/>
        </w:rPr>
        <w:t>九</w:t>
      </w:r>
      <w:r>
        <w:rPr>
          <w:rFonts w:hint="eastAsia" w:ascii="宋体" w:hAnsi="宋体"/>
          <w:color w:val="000000" w:themeColor="text1"/>
          <w:sz w:val="28"/>
          <w:szCs w:val="28"/>
        </w:rPr>
        <w:t>、本局对本《公告》有最终解释权。</w:t>
      </w:r>
    </w:p>
    <w:p w14:paraId="4E68EBAF">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rPr>
        <w:t>详情以本次提供的拍卖会资料为准。</w:t>
      </w:r>
    </w:p>
    <w:p w14:paraId="2ED16CD6">
      <w:pPr>
        <w:spacing w:line="400" w:lineRule="exact"/>
        <w:ind w:firstLine="557" w:firstLineChars="199"/>
        <w:rPr>
          <w:color w:val="000000" w:themeColor="text1"/>
          <w:sz w:val="28"/>
          <w:szCs w:val="36"/>
        </w:rPr>
      </w:pPr>
      <w:r>
        <w:rPr>
          <w:rFonts w:hint="eastAsia" w:ascii="宋体" w:hAnsi="宋体"/>
          <w:color w:val="000000" w:themeColor="text1"/>
          <w:sz w:val="28"/>
          <w:szCs w:val="28"/>
        </w:rPr>
        <w:t>联系电话：</w:t>
      </w:r>
      <w:r>
        <w:rPr>
          <w:rFonts w:hint="eastAsia" w:ascii="宋体" w:hAnsi="宋体"/>
          <w:color w:val="000000" w:themeColor="text1"/>
          <w:sz w:val="28"/>
          <w:szCs w:val="28"/>
          <w:lang w:val="en-US" w:eastAsia="zh-CN"/>
        </w:rPr>
        <w:t>18030390508</w:t>
      </w:r>
      <w:r>
        <w:rPr>
          <w:rFonts w:hint="eastAsia" w:ascii="宋体" w:hAnsi="宋体"/>
          <w:color w:val="000000" w:themeColor="text1"/>
          <w:sz w:val="28"/>
          <w:szCs w:val="28"/>
        </w:rPr>
        <w:t>　　</w:t>
      </w:r>
      <w:r>
        <w:rPr>
          <w:rFonts w:hint="eastAsia" w:ascii="宋体" w:hAnsi="宋体"/>
          <w:color w:val="000000" w:themeColor="text1"/>
          <w:sz w:val="24"/>
        </w:rPr>
        <w:t>　　　　　　　　　　　　　　　　　　　　　　　　　　　　　</w:t>
      </w:r>
    </w:p>
    <w:p w14:paraId="293AE1CD">
      <w:pPr>
        <w:spacing w:line="400" w:lineRule="exact"/>
        <w:ind w:right="420"/>
        <w:jc w:val="right"/>
        <w:rPr>
          <w:rFonts w:ascii="宋体" w:hAnsi="宋体"/>
          <w:color w:val="0000FF"/>
          <w:sz w:val="24"/>
        </w:rPr>
      </w:pPr>
      <w:r>
        <w:rPr>
          <w:rFonts w:hint="eastAsia"/>
          <w:color w:val="000000" w:themeColor="text1"/>
          <w:sz w:val="28"/>
          <w:szCs w:val="36"/>
        </w:rPr>
        <w:t>莆田市自然资源局</w:t>
      </w:r>
    </w:p>
    <w:p w14:paraId="41DEF914">
      <w:pPr>
        <w:spacing w:line="400" w:lineRule="exact"/>
        <w:ind w:firstLine="557" w:firstLineChars="199"/>
        <w:jc w:val="center"/>
        <w:rPr>
          <w:color w:val="FF0000"/>
          <w:sz w:val="28"/>
          <w:szCs w:val="28"/>
        </w:rPr>
      </w:pPr>
      <w:r>
        <w:rPr>
          <w:rFonts w:hint="eastAsia" w:ascii="宋体" w:hAnsi="宋体"/>
          <w:color w:val="0000FF"/>
          <w:sz w:val="28"/>
          <w:szCs w:val="28"/>
        </w:rPr>
        <w:t xml:space="preserve">                                             </w:t>
      </w:r>
      <w:r>
        <w:rPr>
          <w:rFonts w:hint="eastAsia" w:ascii="宋体" w:hAnsi="宋体"/>
          <w:color w:val="FF0000"/>
          <w:sz w:val="28"/>
          <w:szCs w:val="28"/>
        </w:rPr>
        <w:t xml:space="preserve"> </w:t>
      </w:r>
      <w:r>
        <w:rPr>
          <w:rFonts w:hint="eastAsia" w:ascii="宋体" w:hAnsi="宋体"/>
          <w:color w:val="FF0000"/>
          <w:sz w:val="28"/>
          <w:szCs w:val="28"/>
          <w:lang w:val="en-US" w:eastAsia="zh-CN"/>
        </w:rPr>
        <w:t xml:space="preserve">    </w:t>
      </w:r>
      <w:r>
        <w:rPr>
          <w:rFonts w:hint="eastAsia" w:ascii="宋体" w:hAnsi="宋体"/>
          <w:color w:val="auto"/>
          <w:sz w:val="28"/>
          <w:szCs w:val="28"/>
          <w:highlight w:val="none"/>
        </w:rPr>
        <w:t>二○二</w:t>
      </w:r>
      <w:r>
        <w:rPr>
          <w:rFonts w:hint="eastAsia" w:ascii="宋体" w:hAnsi="宋体"/>
          <w:color w:val="auto"/>
          <w:sz w:val="28"/>
          <w:szCs w:val="28"/>
          <w:highlight w:val="none"/>
          <w:lang w:val="en-US" w:eastAsia="zh-CN"/>
        </w:rPr>
        <w:t>五</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七</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四</w:t>
      </w:r>
      <w:r>
        <w:rPr>
          <w:rFonts w:hint="eastAsia" w:ascii="宋体" w:hAnsi="宋体"/>
          <w:color w:val="auto"/>
          <w:sz w:val="28"/>
          <w:szCs w:val="28"/>
          <w:highlight w:val="none"/>
        </w:rPr>
        <w:t>日</w:t>
      </w:r>
    </w:p>
    <w:sectPr>
      <w:pgSz w:w="11906" w:h="16838"/>
      <w:pgMar w:top="567" w:right="510" w:bottom="44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8CD4A0"/>
    <w:multiLevelType w:val="singleLevel"/>
    <w:tmpl w:val="3C8CD4A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TA4ZmJhZGYzNTIyZjE3YTliNTZlMmI4NTA4MjZkNmMifQ=="/>
  </w:docVars>
  <w:rsids>
    <w:rsidRoot w:val="00691E8D"/>
    <w:rsid w:val="000574F1"/>
    <w:rsid w:val="001756C2"/>
    <w:rsid w:val="001C569B"/>
    <w:rsid w:val="002B72AC"/>
    <w:rsid w:val="003963CA"/>
    <w:rsid w:val="003E7C67"/>
    <w:rsid w:val="0048424A"/>
    <w:rsid w:val="005209D3"/>
    <w:rsid w:val="00531B7B"/>
    <w:rsid w:val="00537011"/>
    <w:rsid w:val="005D4DA3"/>
    <w:rsid w:val="005E1AC4"/>
    <w:rsid w:val="00691E8D"/>
    <w:rsid w:val="006A5415"/>
    <w:rsid w:val="006C1187"/>
    <w:rsid w:val="006E0A07"/>
    <w:rsid w:val="007072F9"/>
    <w:rsid w:val="00717955"/>
    <w:rsid w:val="00772CFB"/>
    <w:rsid w:val="00871F95"/>
    <w:rsid w:val="00955C2A"/>
    <w:rsid w:val="00A01E51"/>
    <w:rsid w:val="00A448B6"/>
    <w:rsid w:val="00BE2BB6"/>
    <w:rsid w:val="00C17CF0"/>
    <w:rsid w:val="00C2453F"/>
    <w:rsid w:val="00C72829"/>
    <w:rsid w:val="00D01DB0"/>
    <w:rsid w:val="00F53E06"/>
    <w:rsid w:val="00F6586E"/>
    <w:rsid w:val="00FF3754"/>
    <w:rsid w:val="00FF553C"/>
    <w:rsid w:val="015E6DD6"/>
    <w:rsid w:val="02306FA6"/>
    <w:rsid w:val="02BC1D16"/>
    <w:rsid w:val="02E51C21"/>
    <w:rsid w:val="03171459"/>
    <w:rsid w:val="03DC7336"/>
    <w:rsid w:val="05217479"/>
    <w:rsid w:val="05227F70"/>
    <w:rsid w:val="053C4AE3"/>
    <w:rsid w:val="074B17CC"/>
    <w:rsid w:val="07651475"/>
    <w:rsid w:val="08F55D20"/>
    <w:rsid w:val="09545D9E"/>
    <w:rsid w:val="09730F4E"/>
    <w:rsid w:val="0A2F1883"/>
    <w:rsid w:val="0A3B13D6"/>
    <w:rsid w:val="0B1E0C43"/>
    <w:rsid w:val="0B755D69"/>
    <w:rsid w:val="0BA9676E"/>
    <w:rsid w:val="0BC8771C"/>
    <w:rsid w:val="0BED6A14"/>
    <w:rsid w:val="0DD95C10"/>
    <w:rsid w:val="0E6B4C23"/>
    <w:rsid w:val="0F1A5A12"/>
    <w:rsid w:val="0F2A5FF8"/>
    <w:rsid w:val="0F6B6D3C"/>
    <w:rsid w:val="0FB0090F"/>
    <w:rsid w:val="0FD15B41"/>
    <w:rsid w:val="104C36C7"/>
    <w:rsid w:val="126F08F1"/>
    <w:rsid w:val="12A6008B"/>
    <w:rsid w:val="12CE1537"/>
    <w:rsid w:val="12D319B2"/>
    <w:rsid w:val="12FE1C75"/>
    <w:rsid w:val="13523013"/>
    <w:rsid w:val="153D3797"/>
    <w:rsid w:val="15E41328"/>
    <w:rsid w:val="15FB06EE"/>
    <w:rsid w:val="16F13FCB"/>
    <w:rsid w:val="17345F47"/>
    <w:rsid w:val="17571CE1"/>
    <w:rsid w:val="181635BD"/>
    <w:rsid w:val="18167EB8"/>
    <w:rsid w:val="189673DA"/>
    <w:rsid w:val="19BB08C0"/>
    <w:rsid w:val="1AE83E0C"/>
    <w:rsid w:val="1B006383"/>
    <w:rsid w:val="1B4D4296"/>
    <w:rsid w:val="1C0F326E"/>
    <w:rsid w:val="1D036806"/>
    <w:rsid w:val="1D1D719C"/>
    <w:rsid w:val="1D352737"/>
    <w:rsid w:val="1D7E7D55"/>
    <w:rsid w:val="1D862F93"/>
    <w:rsid w:val="1E4B536D"/>
    <w:rsid w:val="20996CC7"/>
    <w:rsid w:val="20B322F1"/>
    <w:rsid w:val="21367509"/>
    <w:rsid w:val="22D36C7A"/>
    <w:rsid w:val="23A645AD"/>
    <w:rsid w:val="25BD3244"/>
    <w:rsid w:val="264659B5"/>
    <w:rsid w:val="268E4018"/>
    <w:rsid w:val="26BE7752"/>
    <w:rsid w:val="2702368A"/>
    <w:rsid w:val="27473793"/>
    <w:rsid w:val="279A494C"/>
    <w:rsid w:val="27EE00B2"/>
    <w:rsid w:val="280D1AC4"/>
    <w:rsid w:val="28935663"/>
    <w:rsid w:val="28AA0539"/>
    <w:rsid w:val="2B1247DE"/>
    <w:rsid w:val="2C7546A3"/>
    <w:rsid w:val="2CFF1BD0"/>
    <w:rsid w:val="2D363AC1"/>
    <w:rsid w:val="2EAB2859"/>
    <w:rsid w:val="2EF57F78"/>
    <w:rsid w:val="2EFE314A"/>
    <w:rsid w:val="32146967"/>
    <w:rsid w:val="324A3ED3"/>
    <w:rsid w:val="33470B4C"/>
    <w:rsid w:val="33877A69"/>
    <w:rsid w:val="364E0B69"/>
    <w:rsid w:val="3661609B"/>
    <w:rsid w:val="36934FB0"/>
    <w:rsid w:val="37774E14"/>
    <w:rsid w:val="38104AD4"/>
    <w:rsid w:val="38D1110E"/>
    <w:rsid w:val="3A485400"/>
    <w:rsid w:val="3B3D2A8B"/>
    <w:rsid w:val="3C2272F6"/>
    <w:rsid w:val="3C797AF3"/>
    <w:rsid w:val="3CB46D7D"/>
    <w:rsid w:val="3D864BBD"/>
    <w:rsid w:val="3E2441F3"/>
    <w:rsid w:val="3E6D18D9"/>
    <w:rsid w:val="3F9609BC"/>
    <w:rsid w:val="403E177F"/>
    <w:rsid w:val="41566655"/>
    <w:rsid w:val="4195603E"/>
    <w:rsid w:val="42784CF1"/>
    <w:rsid w:val="434D31F4"/>
    <w:rsid w:val="43CC5C4C"/>
    <w:rsid w:val="441F1E1D"/>
    <w:rsid w:val="4528027B"/>
    <w:rsid w:val="46625A9C"/>
    <w:rsid w:val="46D70343"/>
    <w:rsid w:val="47825D5C"/>
    <w:rsid w:val="49262DB0"/>
    <w:rsid w:val="49493DF9"/>
    <w:rsid w:val="4CA81807"/>
    <w:rsid w:val="4DAC603F"/>
    <w:rsid w:val="50343201"/>
    <w:rsid w:val="50CD727E"/>
    <w:rsid w:val="50D71EF5"/>
    <w:rsid w:val="51142FE2"/>
    <w:rsid w:val="512D4000"/>
    <w:rsid w:val="51CC5C45"/>
    <w:rsid w:val="51F37EF0"/>
    <w:rsid w:val="535B176B"/>
    <w:rsid w:val="53AD7D9F"/>
    <w:rsid w:val="556465AC"/>
    <w:rsid w:val="56E61DD1"/>
    <w:rsid w:val="592761E0"/>
    <w:rsid w:val="592D50B9"/>
    <w:rsid w:val="59BB5334"/>
    <w:rsid w:val="5A4E69F3"/>
    <w:rsid w:val="5B2D4472"/>
    <w:rsid w:val="5BDF6909"/>
    <w:rsid w:val="5CC76201"/>
    <w:rsid w:val="5D4B6E32"/>
    <w:rsid w:val="5E090ACF"/>
    <w:rsid w:val="5EF215DA"/>
    <w:rsid w:val="5FDB4F2F"/>
    <w:rsid w:val="61B37CD9"/>
    <w:rsid w:val="61E917F4"/>
    <w:rsid w:val="640A35A3"/>
    <w:rsid w:val="644D16E1"/>
    <w:rsid w:val="648A0240"/>
    <w:rsid w:val="64E06781"/>
    <w:rsid w:val="64E831B8"/>
    <w:rsid w:val="656E5DB3"/>
    <w:rsid w:val="65BE1959"/>
    <w:rsid w:val="65DB3007"/>
    <w:rsid w:val="65F83D27"/>
    <w:rsid w:val="66B77E7A"/>
    <w:rsid w:val="6708472A"/>
    <w:rsid w:val="6720415B"/>
    <w:rsid w:val="68442DFB"/>
    <w:rsid w:val="69162970"/>
    <w:rsid w:val="69F4533D"/>
    <w:rsid w:val="6B204CD4"/>
    <w:rsid w:val="6B367BB3"/>
    <w:rsid w:val="6B401C30"/>
    <w:rsid w:val="6B9876E6"/>
    <w:rsid w:val="6C496C32"/>
    <w:rsid w:val="6C6D12E3"/>
    <w:rsid w:val="6CA83959"/>
    <w:rsid w:val="6FC767EC"/>
    <w:rsid w:val="70221C74"/>
    <w:rsid w:val="706A7177"/>
    <w:rsid w:val="710E3E97"/>
    <w:rsid w:val="72124C34"/>
    <w:rsid w:val="72B811C2"/>
    <w:rsid w:val="72EB459F"/>
    <w:rsid w:val="747F0001"/>
    <w:rsid w:val="74BC150C"/>
    <w:rsid w:val="753C5586"/>
    <w:rsid w:val="76C45833"/>
    <w:rsid w:val="78951F46"/>
    <w:rsid w:val="78BC6BA9"/>
    <w:rsid w:val="79D52FB4"/>
    <w:rsid w:val="7A2D1EA0"/>
    <w:rsid w:val="7B60484B"/>
    <w:rsid w:val="7B771885"/>
    <w:rsid w:val="7BBF5950"/>
    <w:rsid w:val="7CBA2046"/>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link w:val="21"/>
    <w:semiHidden/>
    <w:unhideWhenUsed/>
    <w:qFormat/>
    <w:uiPriority w:val="99"/>
    <w:pPr>
      <w:ind w:left="100" w:leftChars="2500"/>
    </w:pPr>
  </w:style>
  <w:style w:type="paragraph" w:styleId="4">
    <w:name w:val="Balloon Text"/>
    <w:basedOn w:val="1"/>
    <w:link w:val="20"/>
    <w:semiHidden/>
    <w:unhideWhenUsed/>
    <w:qFormat/>
    <w:uiPriority w:val="99"/>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Body Text First Indent"/>
    <w:basedOn w:val="2"/>
    <w:qFormat/>
    <w:uiPriority w:val="0"/>
    <w:pPr>
      <w:ind w:firstLine="420" w:firstLineChars="100"/>
    </w:pPr>
  </w:style>
  <w:style w:type="character" w:styleId="9">
    <w:name w:val="FollowedHyperlink"/>
    <w:basedOn w:val="8"/>
    <w:semiHidden/>
    <w:unhideWhenUsed/>
    <w:qFormat/>
    <w:uiPriority w:val="99"/>
    <w:rPr>
      <w:color w:val="800080"/>
      <w:u w:val="none"/>
    </w:rPr>
  </w:style>
  <w:style w:type="character" w:styleId="10">
    <w:name w:val="Emphasis"/>
    <w:basedOn w:val="8"/>
    <w:qFormat/>
    <w:uiPriority w:val="20"/>
    <w:rPr>
      <w:i/>
    </w:rPr>
  </w:style>
  <w:style w:type="character" w:styleId="11">
    <w:name w:val="HTML Definition"/>
    <w:basedOn w:val="8"/>
    <w:semiHidden/>
    <w:unhideWhenUsed/>
    <w:qFormat/>
    <w:uiPriority w:val="99"/>
  </w:style>
  <w:style w:type="character" w:styleId="12">
    <w:name w:val="HTML Typewriter"/>
    <w:basedOn w:val="8"/>
    <w:semiHidden/>
    <w:unhideWhenUsed/>
    <w:qFormat/>
    <w:uiPriority w:val="99"/>
    <w:rPr>
      <w:rFonts w:hint="default" w:ascii="monospace" w:hAnsi="monospace" w:eastAsia="monospace" w:cs="monospace"/>
      <w:sz w:val="20"/>
    </w:rPr>
  </w:style>
  <w:style w:type="character" w:styleId="13">
    <w:name w:val="HTML Acronym"/>
    <w:basedOn w:val="8"/>
    <w:semiHidden/>
    <w:unhideWhenUsed/>
    <w:qFormat/>
    <w:uiPriority w:val="99"/>
  </w:style>
  <w:style w:type="character" w:styleId="14">
    <w:name w:val="HTML Variable"/>
    <w:basedOn w:val="8"/>
    <w:semiHidden/>
    <w:unhideWhenUsed/>
    <w:qFormat/>
    <w:uiPriority w:val="99"/>
  </w:style>
  <w:style w:type="character" w:styleId="15">
    <w:name w:val="Hyperlink"/>
    <w:basedOn w:val="8"/>
    <w:semiHidden/>
    <w:unhideWhenUsed/>
    <w:qFormat/>
    <w:uiPriority w:val="99"/>
    <w:rPr>
      <w:color w:val="0000FF"/>
      <w:u w:val="none"/>
    </w:rPr>
  </w:style>
  <w:style w:type="character" w:styleId="16">
    <w:name w:val="HTML Code"/>
    <w:basedOn w:val="8"/>
    <w:semiHidden/>
    <w:unhideWhenUsed/>
    <w:qFormat/>
    <w:uiPriority w:val="99"/>
    <w:rPr>
      <w:rFonts w:hint="default" w:ascii="monospace" w:hAnsi="monospace" w:eastAsia="monospace" w:cs="monospace"/>
      <w:sz w:val="20"/>
    </w:rPr>
  </w:style>
  <w:style w:type="character" w:styleId="17">
    <w:name w:val="HTML Cite"/>
    <w:basedOn w:val="8"/>
    <w:semiHidden/>
    <w:unhideWhenUsed/>
    <w:qFormat/>
    <w:uiPriority w:val="99"/>
  </w:style>
  <w:style w:type="character" w:styleId="18">
    <w:name w:val="HTML Keyboard"/>
    <w:basedOn w:val="8"/>
    <w:semiHidden/>
    <w:unhideWhenUsed/>
    <w:qFormat/>
    <w:uiPriority w:val="99"/>
    <w:rPr>
      <w:rFonts w:ascii="monospace" w:hAnsi="monospace" w:eastAsia="monospace" w:cs="monospace"/>
      <w:sz w:val="20"/>
    </w:rPr>
  </w:style>
  <w:style w:type="character" w:styleId="19">
    <w:name w:val="HTML Sample"/>
    <w:basedOn w:val="8"/>
    <w:semiHidden/>
    <w:unhideWhenUsed/>
    <w:qFormat/>
    <w:uiPriority w:val="99"/>
    <w:rPr>
      <w:rFonts w:hint="default" w:ascii="monospace" w:hAnsi="monospace" w:eastAsia="monospace" w:cs="monospace"/>
    </w:rPr>
  </w:style>
  <w:style w:type="character" w:customStyle="1" w:styleId="20">
    <w:name w:val="批注框文本 字符"/>
    <w:basedOn w:val="8"/>
    <w:link w:val="4"/>
    <w:semiHidden/>
    <w:qFormat/>
    <w:uiPriority w:val="99"/>
    <w:rPr>
      <w:rFonts w:ascii="Times New Roman" w:hAnsi="Times New Roman" w:eastAsia="宋体" w:cs="Times New Roman"/>
      <w:sz w:val="18"/>
      <w:szCs w:val="18"/>
    </w:rPr>
  </w:style>
  <w:style w:type="character" w:customStyle="1" w:styleId="21">
    <w:name w:val="日期 字符"/>
    <w:basedOn w:val="8"/>
    <w:link w:val="3"/>
    <w:semiHidden/>
    <w:qFormat/>
    <w:uiPriority w:val="99"/>
    <w:rPr>
      <w:rFonts w:ascii="Times New Roman" w:hAnsi="Times New Roman" w:eastAsia="宋体" w:cs="Times New Roman"/>
      <w:szCs w:val="24"/>
    </w:rPr>
  </w:style>
  <w:style w:type="character" w:customStyle="1" w:styleId="22">
    <w:name w:val="first-child"/>
    <w:basedOn w:val="8"/>
    <w:qFormat/>
    <w:uiPriority w:val="0"/>
  </w:style>
  <w:style w:type="character" w:customStyle="1" w:styleId="23">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1810</Words>
  <Characters>2060</Characters>
  <Lines>12</Lines>
  <Paragraphs>3</Paragraphs>
  <TotalTime>5</TotalTime>
  <ScaleCrop>false</ScaleCrop>
  <LinksUpToDate>false</LinksUpToDate>
  <CharactersWithSpaces>2145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椰</cp:lastModifiedBy>
  <cp:lastPrinted>2024-10-17T07:33:00Z</cp:lastPrinted>
  <dcterms:modified xsi:type="dcterms:W3CDTF">2025-07-04T02:16:33Z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D39C9940BBA9472FAF821986E8945B33_12</vt:lpwstr>
  </property>
  <property fmtid="{D5CDD505-2E9C-101B-9397-08002B2CF9AE}" pid="4" name="KSOTemplateDocerSaveRecord">
    <vt:lpwstr>eyJoZGlkIjoiMTA4ZmJhZGYzNTIyZjE3YTliNTZlMmI4NTA4MjZkNmMiLCJ1c2VySWQiOiIxNDk5OTE0MDE1In0=</vt:lpwstr>
  </property>
</Properties>
</file>